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C6D8" w14:textId="77777777" w:rsidR="00501C5A" w:rsidRPr="001D02FF" w:rsidRDefault="00501C5A" w:rsidP="00501C5A">
      <w:pPr>
        <w:jc w:val="center"/>
        <w:rPr>
          <w:b/>
          <w:sz w:val="24"/>
          <w:lang w:val="fr-FR"/>
        </w:rPr>
      </w:pPr>
      <w:r w:rsidRPr="001D02FF">
        <w:rPr>
          <w:b/>
          <w:sz w:val="24"/>
          <w:lang w:val="fr-FR"/>
        </w:rPr>
        <w:t>Formulaire destiné à la reconfirmation annuelle de la validation</w:t>
      </w:r>
    </w:p>
    <w:p w14:paraId="3EFB0E1B" w14:textId="77777777" w:rsidR="00501C5A" w:rsidRPr="001D02FF" w:rsidRDefault="00501C5A" w:rsidP="00501C5A">
      <w:pPr>
        <w:jc w:val="center"/>
        <w:rPr>
          <w:rFonts w:eastAsia="Malgun Gothic"/>
          <w:b/>
          <w:sz w:val="24"/>
          <w:lang w:val="fr-FR" w:eastAsia="ko-KR"/>
        </w:rPr>
      </w:pPr>
      <w:r w:rsidRPr="001D02FF">
        <w:rPr>
          <w:b/>
          <w:sz w:val="24"/>
          <w:lang w:val="fr-FR"/>
        </w:rPr>
        <w:t xml:space="preserve">des programmes officiels de contrôle de la </w:t>
      </w:r>
      <w:r w:rsidR="00EB4747" w:rsidRPr="001D02FF">
        <w:rPr>
          <w:b/>
          <w:sz w:val="24"/>
          <w:lang w:val="fr-FR"/>
        </w:rPr>
        <w:t>peste des petits ruminants</w:t>
      </w:r>
      <w:r w:rsidR="00F744F4" w:rsidRPr="001D02FF">
        <w:rPr>
          <w:b/>
          <w:sz w:val="24"/>
          <w:lang w:val="fr-FR"/>
        </w:rPr>
        <w:t xml:space="preserve"> </w:t>
      </w:r>
      <w:r w:rsidR="00EB4747" w:rsidRPr="001D02FF">
        <w:rPr>
          <w:b/>
          <w:sz w:val="24"/>
          <w:lang w:val="fr-FR"/>
        </w:rPr>
        <w:t>(PPR)</w:t>
      </w:r>
      <w:r w:rsidRPr="001D02FF">
        <w:rPr>
          <w:b/>
          <w:sz w:val="24"/>
          <w:lang w:val="fr-FR"/>
        </w:rPr>
        <w:t xml:space="preserve"> </w:t>
      </w:r>
    </w:p>
    <w:p w14:paraId="40590025" w14:textId="2BC3564F" w:rsidR="00501C5A" w:rsidRPr="001D02FF" w:rsidRDefault="00501C5A" w:rsidP="00C96DBF">
      <w:pPr>
        <w:spacing w:after="120"/>
        <w:jc w:val="center"/>
        <w:rPr>
          <w:b/>
          <w:sz w:val="12"/>
          <w:szCs w:val="12"/>
          <w:lang w:val="fr-FR"/>
        </w:rPr>
      </w:pPr>
      <w:r w:rsidRPr="001D02FF">
        <w:rPr>
          <w:b/>
          <w:sz w:val="24"/>
          <w:lang w:val="fr-FR"/>
        </w:rPr>
        <w:t xml:space="preserve">des Membres </w:t>
      </w:r>
    </w:p>
    <w:p w14:paraId="64D681A6" w14:textId="20374F85" w:rsidR="007F36C4" w:rsidRDefault="007F36C4" w:rsidP="001D02FF">
      <w:pPr>
        <w:jc w:val="center"/>
        <w:rPr>
          <w:rFonts w:eastAsia="Malgun Gothic"/>
          <w:b/>
          <w:color w:val="FF0000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11" w:history="1">
        <w:r w:rsidR="001472AD" w:rsidRPr="00D15521">
          <w:rPr>
            <w:rStyle w:val="Lienhypertexte"/>
            <w:b/>
            <w:bCs/>
            <w:lang w:val="fr-FR"/>
          </w:rPr>
          <w:t>disease.status@woah.org</w:t>
        </w:r>
      </w:hyperlink>
      <w:r w:rsidR="00D26B3A" w:rsidRPr="00D15521">
        <w:rPr>
          <w:b/>
          <w:bCs/>
          <w:lang w:val="fr-FR"/>
        </w:rPr>
        <w:t xml:space="preserve"> </w:t>
      </w:r>
      <w:r w:rsidRPr="001472AD">
        <w:rPr>
          <w:rFonts w:eastAsia="Malgun Gothic"/>
          <w:b/>
          <w:bCs/>
          <w:color w:val="FF0000"/>
          <w:lang w:val="fr-FR" w:eastAsia="ko-KR"/>
        </w:rPr>
        <w:t xml:space="preserve"> </w:t>
      </w:r>
      <w:r w:rsidR="001D02FF" w:rsidRPr="001472AD">
        <w:rPr>
          <w:rFonts w:eastAsia="Malgun Gothic"/>
          <w:b/>
          <w:bCs/>
          <w:color w:val="FF0000"/>
          <w:lang w:val="fr-FR" w:eastAsia="ko-KR"/>
        </w:rPr>
        <w:br/>
      </w:r>
      <w:r>
        <w:rPr>
          <w:rFonts w:eastAsia="Malgun Gothic"/>
          <w:b/>
          <w:color w:val="FF0000"/>
          <w:lang w:val="fr-FR" w:eastAsia="ko-KR"/>
        </w:rPr>
        <w:t>au cours du mois de novembre tous les ans</w:t>
      </w:r>
    </w:p>
    <w:p w14:paraId="1438A203" w14:textId="77777777" w:rsidR="00B16B75" w:rsidRPr="0084352D" w:rsidRDefault="00B16B75" w:rsidP="00501C5A">
      <w:pPr>
        <w:jc w:val="center"/>
        <w:rPr>
          <w:b/>
          <w:sz w:val="12"/>
          <w:szCs w:val="12"/>
          <w:lang w:val="fr-FR"/>
        </w:rPr>
      </w:pPr>
    </w:p>
    <w:tbl>
      <w:tblPr>
        <w:tblpPr w:leftFromText="180" w:rightFromText="180" w:vertAnchor="text" w:horzAnchor="margin" w:tblpY="75"/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B044CD" w:rsidRPr="00A31C6E" w14:paraId="1F1584BA" w14:textId="77777777" w:rsidTr="00B044CD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AC055C" w14:textId="77777777" w:rsidR="00B044CD" w:rsidRPr="00A31C6E" w:rsidRDefault="00B044CD" w:rsidP="00B044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ANNEE</w:t>
            </w:r>
            <w:r w:rsidRPr="00A31C6E">
              <w:rPr>
                <w:rFonts w:ascii="Arial" w:hAnsi="Arial" w:cs="Arial"/>
                <w:szCs w:val="20"/>
              </w:rPr>
              <w:t xml:space="preserve">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68411" w14:textId="77777777" w:rsidR="00B044CD" w:rsidRPr="00A31C6E" w:rsidRDefault="00B044CD" w:rsidP="00B044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PAYS</w:t>
            </w:r>
            <w:r w:rsidRPr="00A31C6E">
              <w:rPr>
                <w:rFonts w:ascii="Arial" w:hAnsi="Arial" w:cs="Arial"/>
                <w:szCs w:val="20"/>
              </w:rPr>
              <w:t>________________________</w:t>
            </w:r>
          </w:p>
        </w:tc>
      </w:tr>
    </w:tbl>
    <w:p w14:paraId="1791937D" w14:textId="77777777" w:rsidR="00B044CD" w:rsidRDefault="00B044CD" w:rsidP="00501C5A">
      <w:pPr>
        <w:rPr>
          <w:rFonts w:ascii="Arial" w:hAnsi="Arial" w:cs="Arial"/>
          <w:b/>
          <w:lang w:val="fr-FR"/>
        </w:rPr>
      </w:pPr>
    </w:p>
    <w:p w14:paraId="46D3D390" w14:textId="77777777" w:rsidR="00B044CD" w:rsidRDefault="00B044CD" w:rsidP="00501C5A">
      <w:pPr>
        <w:rPr>
          <w:rFonts w:ascii="Arial" w:hAnsi="Arial" w:cs="Arial"/>
          <w:b/>
          <w:lang w:val="fr-FR"/>
        </w:rPr>
      </w:pPr>
    </w:p>
    <w:p w14:paraId="47681B25" w14:textId="77777777" w:rsidR="00B044CD" w:rsidRDefault="00B044CD" w:rsidP="001D02FF">
      <w:pPr>
        <w:spacing w:after="120"/>
        <w:rPr>
          <w:rFonts w:ascii="Arial" w:hAnsi="Arial" w:cs="Arial"/>
          <w:b/>
          <w:lang w:val="fr-FR"/>
        </w:rPr>
      </w:pPr>
    </w:p>
    <w:p w14:paraId="3F7671EE" w14:textId="04F26AC0" w:rsidR="00B044CD" w:rsidRPr="001D02FF" w:rsidRDefault="00B044CD" w:rsidP="000165FC">
      <w:pPr>
        <w:widowControl w:val="0"/>
        <w:adjustRightInd w:val="0"/>
        <w:snapToGrid w:val="0"/>
        <w:jc w:val="both"/>
        <w:rPr>
          <w:b/>
          <w:lang w:val="fr-FR"/>
        </w:rPr>
      </w:pPr>
      <w:r w:rsidRPr="001D02FF">
        <w:rPr>
          <w:b/>
          <w:lang w:val="fr-FR"/>
        </w:rPr>
        <w:t>Conformément à la Résolution n°</w:t>
      </w:r>
      <w:r w:rsidR="00D8095F" w:rsidRPr="001D02FF">
        <w:rPr>
          <w:rFonts w:eastAsia="MS Mincho"/>
          <w:b/>
          <w:lang w:val="fr-FR" w:eastAsia="ja-JP"/>
        </w:rPr>
        <w:t>15</w:t>
      </w:r>
      <w:r w:rsidRPr="001D02FF">
        <w:rPr>
          <w:b/>
          <w:lang w:val="fr-FR"/>
        </w:rPr>
        <w:t xml:space="preserve"> </w:t>
      </w:r>
      <w:r w:rsidR="00E2609E" w:rsidRPr="001D02FF">
        <w:rPr>
          <w:b/>
          <w:lang w:val="fr-FR"/>
        </w:rPr>
        <w:t>de la Procédure Adaptée de 2020</w:t>
      </w:r>
      <w:r w:rsidRPr="001D02FF">
        <w:rPr>
          <w:b/>
          <w:lang w:val="fr-FR"/>
        </w:rPr>
        <w:t xml:space="preserve">, les Membres dont le programme de contrôle est officiellement validé doivent informer </w:t>
      </w:r>
      <w:r w:rsidR="001472AD" w:rsidRPr="001D02FF">
        <w:rPr>
          <w:b/>
          <w:lang w:val="fr-FR"/>
        </w:rPr>
        <w:t>l’</w:t>
      </w:r>
      <w:r w:rsidR="001472AD">
        <w:rPr>
          <w:b/>
          <w:lang w:val="fr-FR"/>
        </w:rPr>
        <w:t>OMSA</w:t>
      </w:r>
      <w:r w:rsidRPr="001D02FF">
        <w:rPr>
          <w:b/>
          <w:lang w:val="fr-FR"/>
        </w:rPr>
        <w:t>, au cours du mois de novembre, de l’état d’avancement de la mise en œuvre du programme de contrôle.</w:t>
      </w:r>
    </w:p>
    <w:tbl>
      <w:tblPr>
        <w:tblpPr w:leftFromText="141" w:rightFromText="141" w:vertAnchor="text" w:horzAnchor="margin" w:tblpX="-176" w:tblpY="1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879"/>
        <w:gridCol w:w="964"/>
      </w:tblGrid>
      <w:tr w:rsidR="00B044CD" w:rsidRPr="00194E89" w14:paraId="21560CB0" w14:textId="77777777" w:rsidTr="001D02FF">
        <w:trPr>
          <w:trHeight w:val="416"/>
        </w:trPr>
        <w:tc>
          <w:tcPr>
            <w:tcW w:w="8188" w:type="dxa"/>
            <w:shd w:val="clear" w:color="auto" w:fill="auto"/>
            <w:vAlign w:val="center"/>
          </w:tcPr>
          <w:p w14:paraId="3DFD8084" w14:textId="77777777" w:rsidR="00B044CD" w:rsidRPr="00194E89" w:rsidRDefault="00B044CD" w:rsidP="001B4D37">
            <w:pPr>
              <w:widowControl w:val="0"/>
              <w:adjustRightInd w:val="0"/>
              <w:snapToGrid w:val="0"/>
              <w:ind w:left="-142"/>
              <w:jc w:val="center"/>
              <w:rPr>
                <w:caps/>
                <w:szCs w:val="20"/>
              </w:rPr>
            </w:pPr>
            <w:r w:rsidRPr="00194E89">
              <w:rPr>
                <w:caps/>
                <w:szCs w:val="20"/>
              </w:rPr>
              <w:t>Question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138259D" w14:textId="77777777" w:rsidR="00B044CD" w:rsidRPr="00194E89" w:rsidRDefault="00F842D9" w:rsidP="001B4D37">
            <w:pPr>
              <w:widowControl w:val="0"/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OUI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207D3D3" w14:textId="77777777" w:rsidR="00B044CD" w:rsidRPr="00194E89" w:rsidRDefault="00B044CD" w:rsidP="001B4D37">
            <w:pPr>
              <w:widowControl w:val="0"/>
              <w:adjustRightInd w:val="0"/>
              <w:snapToGrid w:val="0"/>
              <w:jc w:val="center"/>
              <w:rPr>
                <w:szCs w:val="20"/>
              </w:rPr>
            </w:pPr>
            <w:r w:rsidRPr="00194E89">
              <w:rPr>
                <w:szCs w:val="20"/>
              </w:rPr>
              <w:t>NO</w:t>
            </w:r>
            <w:r w:rsidR="00F842D9">
              <w:rPr>
                <w:szCs w:val="20"/>
              </w:rPr>
              <w:t>N</w:t>
            </w:r>
          </w:p>
        </w:tc>
      </w:tr>
      <w:tr w:rsidR="00F87CE0" w:rsidRPr="00760D2C" w14:paraId="37364114" w14:textId="77777777" w:rsidTr="001D02FF">
        <w:trPr>
          <w:trHeight w:val="536"/>
        </w:trPr>
        <w:tc>
          <w:tcPr>
            <w:tcW w:w="8188" w:type="dxa"/>
            <w:shd w:val="clear" w:color="auto" w:fill="auto"/>
            <w:vAlign w:val="center"/>
          </w:tcPr>
          <w:p w14:paraId="01B45C0E" w14:textId="401AECE9" w:rsidR="00F87CE0" w:rsidDel="00EC2C23" w:rsidRDefault="00F87CE0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 w:rsidRPr="00DB0E0D">
              <w:rPr>
                <w:szCs w:val="20"/>
                <w:lang w:val="fr-FR"/>
              </w:rPr>
              <w:t xml:space="preserve">Avez-vous enregistré une évolution de la situation épidémiologique, une augmentation de l’incidence de la </w:t>
            </w:r>
            <w:r>
              <w:rPr>
                <w:szCs w:val="20"/>
                <w:lang w:val="fr-FR"/>
              </w:rPr>
              <w:t>PPR, des</w:t>
            </w:r>
            <w:r w:rsidRPr="00AB0E57">
              <w:rPr>
                <w:lang w:val="fr-FR"/>
              </w:rPr>
              <w:t xml:space="preserve"> </w:t>
            </w:r>
            <w:r w:rsidRPr="00F87CE0">
              <w:rPr>
                <w:szCs w:val="20"/>
                <w:lang w:val="fr-FR"/>
              </w:rPr>
              <w:t>cas de PPR chez des espèces hôtes inhabituelles</w:t>
            </w:r>
            <w:r w:rsidRPr="00DB0E0D">
              <w:rPr>
                <w:szCs w:val="20"/>
                <w:lang w:val="fr-FR"/>
              </w:rPr>
              <w:t xml:space="preserve"> ou d’autres événements significatifs au cours des 12 derniers mois 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3C3B41" w14:textId="77777777" w:rsidR="00F87CE0" w:rsidRPr="00F842D9" w:rsidRDefault="00F87CE0" w:rsidP="001B4D37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4BA3955" w14:textId="77777777" w:rsidR="00F87CE0" w:rsidRPr="00F842D9" w:rsidRDefault="00F87CE0" w:rsidP="001B4D37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F87CE0" w:rsidRPr="00760D2C" w14:paraId="14E0C98B" w14:textId="77777777" w:rsidTr="001D02FF">
        <w:trPr>
          <w:trHeight w:val="536"/>
        </w:trPr>
        <w:tc>
          <w:tcPr>
            <w:tcW w:w="8188" w:type="dxa"/>
            <w:shd w:val="clear" w:color="auto" w:fill="auto"/>
            <w:vAlign w:val="center"/>
          </w:tcPr>
          <w:p w14:paraId="134CBDB1" w14:textId="543D221C" w:rsidR="00F87CE0" w:rsidRPr="00DB0E0D" w:rsidRDefault="00F87CE0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 w:rsidRPr="00F87CE0">
              <w:rPr>
                <w:szCs w:val="20"/>
                <w:lang w:val="fr-FR"/>
              </w:rPr>
              <w:t>Des changements sont-ils intervenus concern</w:t>
            </w:r>
            <w:r>
              <w:rPr>
                <w:szCs w:val="20"/>
                <w:lang w:val="fr-FR"/>
              </w:rPr>
              <w:t>ant</w:t>
            </w:r>
            <w:r w:rsidRPr="00F87CE0">
              <w:rPr>
                <w:szCs w:val="20"/>
                <w:lang w:val="fr-FR"/>
              </w:rPr>
              <w:t xml:space="preserve"> les principaux systèmes de production et les mouvements d'ovins et de caprins et de leurs produits à l'intérieur et à l'extérieur du pays (ou de la zone) 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215F91C" w14:textId="77777777" w:rsidR="00F87CE0" w:rsidRPr="00F842D9" w:rsidRDefault="00F87CE0" w:rsidP="001B4D37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002576E" w14:textId="77777777" w:rsidR="00F87CE0" w:rsidRPr="00F842D9" w:rsidRDefault="00F87CE0" w:rsidP="001B4D37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760D2C" w14:paraId="30F2E6B4" w14:textId="77777777" w:rsidTr="001D02FF">
        <w:trPr>
          <w:trHeight w:val="536"/>
        </w:trPr>
        <w:tc>
          <w:tcPr>
            <w:tcW w:w="8188" w:type="dxa"/>
            <w:shd w:val="clear" w:color="auto" w:fill="auto"/>
            <w:vAlign w:val="center"/>
          </w:tcPr>
          <w:p w14:paraId="3A1F558C" w14:textId="0DCE09F9" w:rsidR="00140CA1" w:rsidRPr="00F87CE0" w:rsidRDefault="00140CA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 w:rsidRPr="00063C6C">
              <w:rPr>
                <w:szCs w:val="20"/>
                <w:lang w:val="fr-FR"/>
              </w:rPr>
              <w:t xml:space="preserve">La surveillance de la </w:t>
            </w:r>
            <w:r>
              <w:rPr>
                <w:szCs w:val="20"/>
                <w:lang w:val="fr-FR"/>
              </w:rPr>
              <w:t>PPR</w:t>
            </w:r>
            <w:r w:rsidRPr="00AB0E57">
              <w:rPr>
                <w:lang w:val="fr-FR"/>
              </w:rPr>
              <w:t xml:space="preserve"> </w:t>
            </w:r>
            <w:r w:rsidRPr="00140CA1">
              <w:rPr>
                <w:szCs w:val="20"/>
                <w:lang w:val="fr-FR"/>
              </w:rPr>
              <w:t>(y compris dans la faune sauvage, le cas échéant)</w:t>
            </w:r>
            <w:r w:rsidRPr="00063C6C">
              <w:rPr>
                <w:szCs w:val="20"/>
                <w:lang w:val="fr-FR"/>
              </w:rPr>
              <w:t xml:space="preserve"> </w:t>
            </w:r>
            <w:r>
              <w:rPr>
                <w:szCs w:val="20"/>
                <w:lang w:val="fr-FR"/>
              </w:rPr>
              <w:t>es</w:t>
            </w:r>
            <w:r w:rsidRPr="00063C6C">
              <w:rPr>
                <w:szCs w:val="20"/>
                <w:lang w:val="fr-FR"/>
              </w:rPr>
              <w:t xml:space="preserve">t-elle conduite conformément </w:t>
            </w:r>
            <w:r>
              <w:rPr>
                <w:szCs w:val="20"/>
                <w:lang w:val="fr-FR"/>
              </w:rPr>
              <w:t>au</w:t>
            </w:r>
            <w:r w:rsidRPr="00063C6C">
              <w:rPr>
                <w:szCs w:val="20"/>
                <w:lang w:val="fr-FR"/>
              </w:rPr>
              <w:t xml:space="preserve"> chapitre 1.4. et </w:t>
            </w:r>
            <w:r>
              <w:rPr>
                <w:szCs w:val="20"/>
                <w:lang w:val="fr-FR"/>
              </w:rPr>
              <w:t xml:space="preserve">aux articles </w:t>
            </w:r>
            <w:r w:rsidRPr="00063C6C">
              <w:rPr>
                <w:szCs w:val="20"/>
                <w:lang w:val="fr-FR"/>
              </w:rPr>
              <w:t>14.7.</w:t>
            </w:r>
            <w:r>
              <w:rPr>
                <w:szCs w:val="20"/>
                <w:lang w:val="fr-FR"/>
              </w:rPr>
              <w:t>27</w:t>
            </w:r>
            <w:r w:rsidR="00CE3C2E">
              <w:rPr>
                <w:szCs w:val="20"/>
                <w:lang w:val="fr-FR"/>
              </w:rPr>
              <w:t>.</w:t>
            </w:r>
            <w:r>
              <w:rPr>
                <w:szCs w:val="20"/>
                <w:lang w:val="fr-FR"/>
              </w:rPr>
              <w:t xml:space="preserve"> </w:t>
            </w:r>
            <w:r w:rsidR="00274F8C">
              <w:rPr>
                <w:szCs w:val="20"/>
                <w:lang w:val="fr-FR"/>
              </w:rPr>
              <w:t>à</w:t>
            </w:r>
            <w:r>
              <w:rPr>
                <w:szCs w:val="20"/>
                <w:lang w:val="fr-FR"/>
              </w:rPr>
              <w:t xml:space="preserve"> 14.7.33.</w:t>
            </w:r>
            <w:r w:rsidR="009875AF">
              <w:rPr>
                <w:szCs w:val="20"/>
                <w:lang w:val="fr-FR"/>
              </w:rPr>
              <w:t xml:space="preserve"> </w:t>
            </w:r>
            <w:r w:rsidRPr="00063C6C">
              <w:rPr>
                <w:szCs w:val="20"/>
                <w:lang w:val="fr-FR"/>
              </w:rPr>
              <w:t>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F21BD0A" w14:textId="77777777" w:rsidR="00140CA1" w:rsidRPr="00F842D9" w:rsidRDefault="00140CA1" w:rsidP="001B4D37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C5E1907" w14:textId="77777777" w:rsidR="00140CA1" w:rsidRPr="00F842D9" w:rsidRDefault="00140CA1" w:rsidP="001B4D37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760D2C" w14:paraId="00BA7E04" w14:textId="77777777" w:rsidTr="001D02FF">
        <w:trPr>
          <w:trHeight w:val="536"/>
        </w:trPr>
        <w:tc>
          <w:tcPr>
            <w:tcW w:w="8188" w:type="dxa"/>
            <w:shd w:val="clear" w:color="auto" w:fill="auto"/>
            <w:vAlign w:val="center"/>
          </w:tcPr>
          <w:p w14:paraId="479E242A" w14:textId="0EEEB805" w:rsidR="00140CA1" w:rsidRPr="00063C6C" w:rsidRDefault="00140CA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Les</w:t>
            </w:r>
            <w:r w:rsidRPr="00673332">
              <w:rPr>
                <w:szCs w:val="20"/>
                <w:lang w:val="fr-FR"/>
              </w:rPr>
              <w:t xml:space="preserve"> capacités et </w:t>
            </w:r>
            <w:r>
              <w:rPr>
                <w:szCs w:val="20"/>
                <w:lang w:val="fr-FR"/>
              </w:rPr>
              <w:t>l</w:t>
            </w:r>
            <w:r w:rsidRPr="00673332">
              <w:rPr>
                <w:szCs w:val="20"/>
                <w:lang w:val="fr-FR"/>
              </w:rPr>
              <w:t xml:space="preserve">es procédures </w:t>
            </w:r>
            <w:r>
              <w:rPr>
                <w:szCs w:val="20"/>
                <w:lang w:val="fr-FR"/>
              </w:rPr>
              <w:t>de</w:t>
            </w:r>
            <w:r w:rsidRPr="00673332">
              <w:rPr>
                <w:szCs w:val="20"/>
                <w:lang w:val="fr-FR"/>
              </w:rPr>
              <w:t xml:space="preserve"> diagnostic</w:t>
            </w:r>
            <w:r>
              <w:rPr>
                <w:szCs w:val="20"/>
                <w:lang w:val="fr-FR"/>
              </w:rPr>
              <w:t xml:space="preserve"> ont-elles été modifiées 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DE49E2" w14:textId="77777777" w:rsidR="00140CA1" w:rsidRPr="00F842D9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2C528C9" w14:textId="77777777" w:rsidR="00140CA1" w:rsidRPr="00F842D9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760D2C" w14:paraId="79750EAE" w14:textId="77777777" w:rsidTr="001D02FF">
        <w:trPr>
          <w:trHeight w:val="536"/>
        </w:trPr>
        <w:tc>
          <w:tcPr>
            <w:tcW w:w="8188" w:type="dxa"/>
            <w:shd w:val="clear" w:color="auto" w:fill="auto"/>
            <w:vAlign w:val="center"/>
          </w:tcPr>
          <w:p w14:paraId="32A4E5BF" w14:textId="1AC12585" w:rsidR="00140CA1" w:rsidRDefault="00140CA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Des </w:t>
            </w:r>
            <w:r w:rsidRPr="00673332">
              <w:rPr>
                <w:szCs w:val="20"/>
                <w:lang w:val="fr-FR"/>
              </w:rPr>
              <w:t>prélèvements</w:t>
            </w:r>
            <w:r>
              <w:rPr>
                <w:szCs w:val="20"/>
                <w:lang w:val="fr-FR"/>
              </w:rPr>
              <w:t xml:space="preserve"> ont-ils été régulièrement soumis</w:t>
            </w:r>
            <w:r w:rsidRPr="00673332">
              <w:rPr>
                <w:szCs w:val="20"/>
                <w:lang w:val="fr-FR"/>
              </w:rPr>
              <w:t xml:space="preserve"> à des </w:t>
            </w:r>
            <w:hyperlink r:id="rId12" w:anchor="terme_laboratoire" w:history="1">
              <w:r w:rsidRPr="00673332">
                <w:rPr>
                  <w:szCs w:val="20"/>
                  <w:lang w:val="fr-FR"/>
                </w:rPr>
                <w:t>laboratoires</w:t>
              </w:r>
            </w:hyperlink>
            <w:r w:rsidRPr="00673332">
              <w:rPr>
                <w:szCs w:val="20"/>
                <w:lang w:val="fr-FR"/>
              </w:rPr>
              <w:t xml:space="preserve"> </w:t>
            </w:r>
            <w:r>
              <w:rPr>
                <w:szCs w:val="20"/>
                <w:lang w:val="fr-FR"/>
              </w:rPr>
              <w:t>pour confirmer la PPR 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B0E9B03" w14:textId="77777777" w:rsidR="00140CA1" w:rsidRPr="00F842D9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A5DBEFE" w14:textId="77777777" w:rsidR="00140CA1" w:rsidRPr="00F842D9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D02FF" w:rsidRPr="00760D2C" w14:paraId="147FC8C4" w14:textId="77777777" w:rsidTr="001D02FF">
        <w:trPr>
          <w:trHeight w:val="1150"/>
        </w:trPr>
        <w:tc>
          <w:tcPr>
            <w:tcW w:w="8188" w:type="dxa"/>
            <w:shd w:val="clear" w:color="auto" w:fill="auto"/>
            <w:vAlign w:val="center"/>
          </w:tcPr>
          <w:p w14:paraId="2EEF5B7F" w14:textId="37B8AADE" w:rsidR="001D02FF" w:rsidRDefault="001D02FF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 w:rsidRPr="00FA38E8">
              <w:rPr>
                <w:szCs w:val="20"/>
                <w:lang w:val="fr-FR"/>
              </w:rPr>
              <w:t>Des changements ont-ils été apportés à la stratégie de vaccination obligatoire de la population cible conformément au chapitre 4.18. (C’est-à-dire la population cibl</w:t>
            </w:r>
            <w:r>
              <w:rPr>
                <w:szCs w:val="20"/>
                <w:lang w:val="fr-FR"/>
              </w:rPr>
              <w:t>ée</w:t>
            </w:r>
            <w:r w:rsidRPr="00FA38E8">
              <w:rPr>
                <w:szCs w:val="20"/>
                <w:lang w:val="fr-FR"/>
              </w:rPr>
              <w:t xml:space="preserve"> et la zone géographique </w:t>
            </w:r>
            <w:r>
              <w:rPr>
                <w:szCs w:val="20"/>
                <w:lang w:val="fr-FR"/>
              </w:rPr>
              <w:t>ciblée pour la</w:t>
            </w:r>
            <w:r w:rsidRPr="00FA38E8">
              <w:rPr>
                <w:szCs w:val="20"/>
                <w:lang w:val="fr-FR"/>
              </w:rPr>
              <w:t xml:space="preserve"> vaccination, le suivi de la couverture vaccinale, la stratégie d'identification des animaux vaccinés, le</w:t>
            </w:r>
            <w:r>
              <w:rPr>
                <w:szCs w:val="20"/>
                <w:lang w:val="fr-FR"/>
              </w:rPr>
              <w:t>s</w:t>
            </w:r>
            <w:r w:rsidRPr="00FA38E8">
              <w:rPr>
                <w:szCs w:val="20"/>
                <w:lang w:val="fr-FR"/>
              </w:rPr>
              <w:t xml:space="preserve"> vaccin</w:t>
            </w:r>
            <w:r>
              <w:rPr>
                <w:szCs w:val="20"/>
                <w:lang w:val="fr-FR"/>
              </w:rPr>
              <w:t>s</w:t>
            </w:r>
            <w:r w:rsidRPr="00FA38E8">
              <w:rPr>
                <w:szCs w:val="20"/>
                <w:lang w:val="fr-FR"/>
              </w:rPr>
              <w:t xml:space="preserve"> utilisé</w:t>
            </w:r>
            <w:r>
              <w:rPr>
                <w:szCs w:val="20"/>
                <w:lang w:val="fr-FR"/>
              </w:rPr>
              <w:t>s</w:t>
            </w:r>
            <w:r w:rsidRPr="00FA38E8">
              <w:rPr>
                <w:szCs w:val="20"/>
                <w:lang w:val="fr-FR"/>
              </w:rPr>
              <w:t xml:space="preserve">, le calendrier de transition </w:t>
            </w:r>
            <w:r w:rsidRPr="00274F8C">
              <w:rPr>
                <w:szCs w:val="20"/>
                <w:lang w:val="fr-FR"/>
              </w:rPr>
              <w:t xml:space="preserve">conduisant à l’arrêt du recours à </w:t>
            </w:r>
            <w:r w:rsidRPr="00FA38E8">
              <w:rPr>
                <w:szCs w:val="20"/>
                <w:lang w:val="fr-FR"/>
              </w:rPr>
              <w:t>la vaccination) 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84BA651" w14:textId="77777777" w:rsidR="001D02FF" w:rsidRPr="00F842D9" w:rsidRDefault="001D02FF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30BBDDF" w14:textId="7B49C65C" w:rsidR="001D02FF" w:rsidRPr="00F842D9" w:rsidRDefault="001D02FF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760D2C" w14:paraId="60C0F585" w14:textId="77777777" w:rsidTr="001D02FF">
        <w:trPr>
          <w:trHeight w:val="607"/>
        </w:trPr>
        <w:tc>
          <w:tcPr>
            <w:tcW w:w="8188" w:type="dxa"/>
            <w:shd w:val="clear" w:color="auto" w:fill="auto"/>
            <w:vAlign w:val="center"/>
          </w:tcPr>
          <w:p w14:paraId="0AD14E20" w14:textId="4B8E1FC4" w:rsidR="00140CA1" w:rsidRPr="00673332" w:rsidRDefault="00140CA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</w:t>
            </w:r>
            <w:r w:rsidRPr="00D44B8C">
              <w:rPr>
                <w:szCs w:val="20"/>
                <w:lang w:val="fr-FR"/>
              </w:rPr>
              <w:t xml:space="preserve">es modifications ont-elles été apportées aux mesures </w:t>
            </w:r>
            <w:r w:rsidR="00FA38E8">
              <w:rPr>
                <w:szCs w:val="20"/>
                <w:lang w:val="fr-FR"/>
              </w:rPr>
              <w:t xml:space="preserve">mises en œuvre pour empêcher l’introduction et assurer la détection rapide </w:t>
            </w:r>
            <w:r w:rsidRPr="00D44B8C">
              <w:rPr>
                <w:szCs w:val="20"/>
                <w:lang w:val="fr-FR"/>
              </w:rPr>
              <w:t xml:space="preserve">de la </w:t>
            </w:r>
            <w:r>
              <w:rPr>
                <w:szCs w:val="20"/>
                <w:lang w:val="fr-FR"/>
              </w:rPr>
              <w:t>PPR</w:t>
            </w:r>
            <w:r w:rsidRPr="00D44B8C">
              <w:rPr>
                <w:szCs w:val="20"/>
                <w:lang w:val="fr-FR"/>
              </w:rPr>
              <w:t> 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AAED5A1" w14:textId="77777777" w:rsidR="00140CA1" w:rsidRPr="00F842D9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0463736" w14:textId="77777777" w:rsidR="00140CA1" w:rsidRPr="00F842D9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3F1001" w:rsidRPr="00760D2C" w14:paraId="2CE2405F" w14:textId="77777777" w:rsidTr="001D02FF">
        <w:trPr>
          <w:trHeight w:val="843"/>
        </w:trPr>
        <w:tc>
          <w:tcPr>
            <w:tcW w:w="8188" w:type="dxa"/>
            <w:shd w:val="clear" w:color="auto" w:fill="auto"/>
            <w:vAlign w:val="center"/>
          </w:tcPr>
          <w:p w14:paraId="047CE787" w14:textId="0C5DEDD2" w:rsidR="003F1001" w:rsidRPr="00063C6C" w:rsidRDefault="003F100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</w:t>
            </w:r>
            <w:r w:rsidRPr="00D44B8C">
              <w:rPr>
                <w:szCs w:val="20"/>
                <w:lang w:val="fr-FR"/>
              </w:rPr>
              <w:t xml:space="preserve">es modifications ont-elles été apportées </w:t>
            </w:r>
            <w:r>
              <w:rPr>
                <w:szCs w:val="20"/>
                <w:lang w:val="fr-FR"/>
              </w:rPr>
              <w:t>au</w:t>
            </w:r>
            <w:r w:rsidRPr="00673332">
              <w:rPr>
                <w:lang w:val="fr-FR"/>
              </w:rPr>
              <w:t xml:space="preserve"> plan de préparation et </w:t>
            </w:r>
            <w:r>
              <w:rPr>
                <w:lang w:val="fr-FR"/>
              </w:rPr>
              <w:t>d’intervention</w:t>
            </w:r>
            <w:r w:rsidR="00274F8C" w:rsidRPr="001D02FF">
              <w:rPr>
                <w:lang w:val="fr-FR"/>
              </w:rPr>
              <w:t xml:space="preserve"> </w:t>
            </w:r>
            <w:r w:rsidR="00274F8C" w:rsidRPr="00274F8C">
              <w:rPr>
                <w:lang w:val="fr-FR"/>
              </w:rPr>
              <w:t xml:space="preserve">pour les situations </w:t>
            </w:r>
            <w:r w:rsidRPr="00673332">
              <w:rPr>
                <w:lang w:val="fr-FR"/>
              </w:rPr>
              <w:t xml:space="preserve">d’urgence à mettre en œuvre en cas </w:t>
            </w:r>
            <w:r>
              <w:rPr>
                <w:lang w:val="fr-FR"/>
              </w:rPr>
              <w:t xml:space="preserve">d’apparition d’un ou </w:t>
            </w:r>
            <w:r w:rsidRPr="00673332">
              <w:rPr>
                <w:lang w:val="fr-FR"/>
              </w:rPr>
              <w:t xml:space="preserve">de </w:t>
            </w:r>
            <w:r>
              <w:rPr>
                <w:lang w:val="fr-FR"/>
              </w:rPr>
              <w:t xml:space="preserve">plusieurs </w:t>
            </w:r>
            <w:r w:rsidRPr="00DB0E0D">
              <w:rPr>
                <w:lang w:val="fr-FR"/>
              </w:rPr>
              <w:t>foyers</w:t>
            </w:r>
            <w:r w:rsidRPr="00673332">
              <w:rPr>
                <w:lang w:val="fr-FR"/>
              </w:rPr>
              <w:t xml:space="preserve"> de</w:t>
            </w:r>
            <w:r w:rsidR="00274F8C" w:rsidRPr="001D02FF">
              <w:rPr>
                <w:lang w:val="fr-FR"/>
              </w:rPr>
              <w:t xml:space="preserve"> </w:t>
            </w:r>
            <w:r w:rsidR="00274F8C" w:rsidRPr="00274F8C">
              <w:rPr>
                <w:lang w:val="fr-FR"/>
              </w:rPr>
              <w:t>peste des petits ruminants</w:t>
            </w:r>
            <w:r>
              <w:rPr>
                <w:lang w:val="fr-FR"/>
              </w:rPr>
              <w:t xml:space="preserve"> </w:t>
            </w:r>
            <w:r w:rsidRPr="00D44B8C">
              <w:rPr>
                <w:szCs w:val="20"/>
                <w:lang w:val="fr-FR"/>
              </w:rPr>
              <w:t>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6CAC9B5" w14:textId="77777777" w:rsidR="003F1001" w:rsidRPr="00673332" w:rsidRDefault="003F100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CA91046" w14:textId="77777777" w:rsidR="003F1001" w:rsidRPr="00673332" w:rsidRDefault="003F100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760D2C" w14:paraId="78FB55DD" w14:textId="77777777" w:rsidTr="001D02FF">
        <w:trPr>
          <w:trHeight w:val="524"/>
        </w:trPr>
        <w:tc>
          <w:tcPr>
            <w:tcW w:w="8188" w:type="dxa"/>
            <w:shd w:val="clear" w:color="auto" w:fill="auto"/>
            <w:vAlign w:val="center"/>
          </w:tcPr>
          <w:p w14:paraId="7ECC488F" w14:textId="77777777" w:rsidR="00140CA1" w:rsidRPr="00673332" w:rsidRDefault="00140CA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Pr="00673332">
              <w:rPr>
                <w:lang w:val="fr-FR"/>
              </w:rPr>
              <w:t xml:space="preserve">calendrier du programme </w:t>
            </w:r>
            <w:r>
              <w:rPr>
                <w:lang w:val="fr-FR"/>
              </w:rPr>
              <w:t xml:space="preserve">et </w:t>
            </w:r>
            <w:r w:rsidRPr="00673332">
              <w:rPr>
                <w:lang w:val="fr-FR"/>
              </w:rPr>
              <w:t>ses indicateurs de performance</w:t>
            </w:r>
            <w:r w:rsidRPr="00362500">
              <w:rPr>
                <w:lang w:val="fr-FR"/>
              </w:rPr>
              <w:t xml:space="preserve"> indiqués dans le programme officiel de contrôle validé </w:t>
            </w:r>
            <w:r>
              <w:rPr>
                <w:lang w:val="fr-FR"/>
              </w:rPr>
              <w:t>ont-ils été respectés 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E08A429" w14:textId="77777777" w:rsidR="00140CA1" w:rsidRPr="00673332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C8EAFCF" w14:textId="77777777" w:rsidR="00140CA1" w:rsidRPr="00673332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760D2C" w14:paraId="3597E90A" w14:textId="77777777" w:rsidTr="001D02FF">
        <w:trPr>
          <w:trHeight w:val="524"/>
        </w:trPr>
        <w:tc>
          <w:tcPr>
            <w:tcW w:w="8188" w:type="dxa"/>
            <w:shd w:val="clear" w:color="auto" w:fill="auto"/>
            <w:vAlign w:val="center"/>
          </w:tcPr>
          <w:p w14:paraId="43163BD9" w14:textId="4C5E0D27" w:rsidR="00140CA1" w:rsidRPr="00DB0E0D" w:rsidRDefault="003F100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lang w:val="fr-FR"/>
              </w:rPr>
            </w:pPr>
            <w:r w:rsidRPr="003F1001">
              <w:rPr>
                <w:lang w:val="fr-FR"/>
              </w:rPr>
              <w:t xml:space="preserve">Le programme officiel de contrôle de la PPR a-t-il été suivi, évalué et </w:t>
            </w:r>
            <w:r w:rsidR="00274F8C">
              <w:rPr>
                <w:lang w:val="fr-FR"/>
              </w:rPr>
              <w:t>examiné</w:t>
            </w:r>
            <w:r w:rsidRPr="003F1001">
              <w:rPr>
                <w:lang w:val="fr-FR"/>
              </w:rPr>
              <w:t xml:space="preserve"> au cours des 12 derniers mois ?  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702BFE2" w14:textId="77777777" w:rsidR="00140CA1" w:rsidRPr="00DB0E0D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F8828F4" w14:textId="77777777" w:rsidR="00140CA1" w:rsidRPr="00DB0E0D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760D2C" w14:paraId="55A6C19F" w14:textId="77777777" w:rsidTr="001B4D37">
        <w:trPr>
          <w:trHeight w:val="524"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1FD3FAA7" w14:textId="377431A9" w:rsidR="00140CA1" w:rsidRPr="00063C6C" w:rsidRDefault="00140CA1" w:rsidP="001D02FF">
            <w:pPr>
              <w:widowControl w:val="0"/>
              <w:adjustRightInd w:val="0"/>
              <w:snapToGrid w:val="0"/>
              <w:spacing w:after="120"/>
              <w:rPr>
                <w:sz w:val="18"/>
                <w:szCs w:val="22"/>
                <w:lang w:val="fr-FR"/>
              </w:rPr>
            </w:pPr>
            <w:r w:rsidRPr="00D26B3A">
              <w:rPr>
                <w:b/>
                <w:bCs/>
                <w:sz w:val="18"/>
                <w:szCs w:val="22"/>
                <w:lang w:val="fr-FR"/>
              </w:rPr>
              <w:t>Veuillez fournir les informations à jour sur les progrès réalisés au regard du programme officiel de lutte et sur tout changement significatif concernant les points susmentionnés.</w:t>
            </w:r>
          </w:p>
          <w:p w14:paraId="2243A03A" w14:textId="62F5FB86" w:rsidR="00140CA1" w:rsidRDefault="00140CA1" w:rsidP="001D02FF">
            <w:pPr>
              <w:widowControl w:val="0"/>
              <w:adjustRightInd w:val="0"/>
              <w:snapToGrid w:val="0"/>
              <w:spacing w:after="120"/>
              <w:rPr>
                <w:b/>
                <w:color w:val="FF0000"/>
                <w:szCs w:val="20"/>
                <w:lang w:val="fr-FR"/>
              </w:rPr>
            </w:pPr>
            <w:r w:rsidRPr="00ED7667">
              <w:rPr>
                <w:b/>
                <w:color w:val="FF0000"/>
                <w:szCs w:val="20"/>
                <w:lang w:val="fr-FR"/>
              </w:rPr>
              <w:t>Cette information est oblig</w:t>
            </w:r>
            <w:r>
              <w:rPr>
                <w:b/>
                <w:color w:val="FF0000"/>
                <w:szCs w:val="20"/>
                <w:lang w:val="fr-FR"/>
              </w:rPr>
              <w:t>atoire pour le maintien sur la L</w:t>
            </w:r>
            <w:r w:rsidRPr="00ED7667">
              <w:rPr>
                <w:b/>
                <w:color w:val="FF0000"/>
                <w:szCs w:val="20"/>
                <w:lang w:val="fr-FR"/>
              </w:rPr>
              <w:t xml:space="preserve">iste des </w:t>
            </w:r>
            <w:r>
              <w:rPr>
                <w:b/>
                <w:color w:val="FF0000"/>
                <w:szCs w:val="20"/>
                <w:lang w:val="fr-FR"/>
              </w:rPr>
              <w:t>Membres appliquant</w:t>
            </w:r>
            <w:r w:rsidRPr="00ED7667">
              <w:rPr>
                <w:b/>
                <w:color w:val="FF0000"/>
                <w:szCs w:val="20"/>
                <w:lang w:val="fr-FR"/>
              </w:rPr>
              <w:t xml:space="preserve"> un programme officiel de contrôle de la PPR validé par </w:t>
            </w:r>
            <w:r w:rsidR="001472AD" w:rsidRPr="00ED7667">
              <w:rPr>
                <w:b/>
                <w:color w:val="FF0000"/>
                <w:szCs w:val="20"/>
                <w:lang w:val="fr-FR"/>
              </w:rPr>
              <w:t>l’</w:t>
            </w:r>
            <w:r w:rsidR="001472AD">
              <w:rPr>
                <w:b/>
                <w:color w:val="FF0000"/>
                <w:szCs w:val="20"/>
                <w:lang w:val="fr-FR"/>
              </w:rPr>
              <w:t>OMSA</w:t>
            </w:r>
            <w:r w:rsidRPr="00ED7667">
              <w:rPr>
                <w:b/>
                <w:color w:val="FF0000"/>
                <w:szCs w:val="20"/>
                <w:lang w:val="fr-FR"/>
              </w:rPr>
              <w:t>.</w:t>
            </w:r>
          </w:p>
          <w:p w14:paraId="17669675" w14:textId="7AB2F28C" w:rsidR="00140CA1" w:rsidRPr="007E02FD" w:rsidRDefault="00140CA1" w:rsidP="001D02FF">
            <w:pPr>
              <w:widowControl w:val="0"/>
              <w:adjustRightInd w:val="0"/>
              <w:snapToGrid w:val="0"/>
              <w:spacing w:after="120"/>
              <w:jc w:val="both"/>
              <w:rPr>
                <w:szCs w:val="20"/>
                <w:lang w:val="fr-FR"/>
              </w:rPr>
            </w:pPr>
            <w:r w:rsidRPr="00063C6C">
              <w:rPr>
                <w:sz w:val="18"/>
                <w:szCs w:val="18"/>
                <w:lang w:val="fr-FR"/>
              </w:rPr>
              <w:t xml:space="preserve">*Note : conformément à l'article 14.7.34. du </w:t>
            </w:r>
            <w:r w:rsidRPr="00063C6C">
              <w:rPr>
                <w:i/>
                <w:sz w:val="18"/>
                <w:szCs w:val="18"/>
                <w:lang w:val="fr-FR"/>
              </w:rPr>
              <w:t>Code terrestre</w:t>
            </w:r>
            <w:r w:rsidRPr="00063C6C">
              <w:rPr>
                <w:sz w:val="18"/>
                <w:szCs w:val="18"/>
                <w:lang w:val="fr-FR"/>
              </w:rPr>
              <w:t>, la reconfirmation annuelle d'un programme de contrôle officiel pour la PPR validé doit être étayée par des documents justificatifs fournissant une mise à jour sur la progression du programme de contrôle. En particulier, veuillez fournir pour les 12 derniers mois : i) une description de chaque indicateur de performance. Si un objectif n'a pas été atteint, une explication de la cause et des mesures correctives; ii) les progrès réalisés vis-à-vis du calendrier (établi au moment de la validation) et, si un délai n’a pas été respecté, une explication de la cause et des mesures correctives; et iii) le nombre d'animaux vaccinés par espèce, les résultats de la couverture vaccinale</w:t>
            </w:r>
            <w:r w:rsidR="003F1001">
              <w:rPr>
                <w:sz w:val="18"/>
                <w:szCs w:val="18"/>
                <w:lang w:val="fr-FR"/>
              </w:rPr>
              <w:t>, l’identification des animaux vaccinés</w:t>
            </w:r>
            <w:r w:rsidRPr="00063C6C">
              <w:rPr>
                <w:sz w:val="18"/>
                <w:szCs w:val="18"/>
                <w:lang w:val="fr-FR"/>
              </w:rPr>
              <w:t xml:space="preserve"> et l’immunité de la population.</w:t>
            </w:r>
          </w:p>
        </w:tc>
      </w:tr>
      <w:tr w:rsidR="00140CA1" w14:paraId="03E988BA" w14:textId="77777777" w:rsidTr="00063C6C">
        <w:trPr>
          <w:trHeight w:val="1449"/>
        </w:trPr>
        <w:tc>
          <w:tcPr>
            <w:tcW w:w="10031" w:type="dxa"/>
            <w:gridSpan w:val="3"/>
            <w:shd w:val="clear" w:color="auto" w:fill="auto"/>
          </w:tcPr>
          <w:p w14:paraId="795ED6A9" w14:textId="77777777" w:rsidR="00140CA1" w:rsidRPr="00272A4B" w:rsidRDefault="00140CA1" w:rsidP="001D02FF">
            <w:pPr>
              <w:widowControl w:val="0"/>
              <w:adjustRightInd w:val="0"/>
              <w:snapToGrid w:val="0"/>
              <w:spacing w:after="120"/>
              <w:rPr>
                <w:b/>
                <w:szCs w:val="20"/>
                <w:lang w:val="fr-FR"/>
              </w:rPr>
            </w:pPr>
            <w:r w:rsidRPr="00E33155">
              <w:rPr>
                <w:b/>
                <w:szCs w:val="20"/>
                <w:lang w:val="fr-FR"/>
              </w:rPr>
              <w:t>Je certifie que les informations données ci-dessus sont exactes</w:t>
            </w:r>
            <w:r>
              <w:rPr>
                <w:b/>
                <w:szCs w:val="20"/>
                <w:lang w:val="fr-FR"/>
              </w:rPr>
              <w:t>.</w:t>
            </w:r>
          </w:p>
          <w:p w14:paraId="2203EA43" w14:textId="77777777" w:rsidR="00140CA1" w:rsidRPr="00ED0D38" w:rsidRDefault="00140CA1" w:rsidP="001D02FF">
            <w:pPr>
              <w:widowControl w:val="0"/>
              <w:adjustRightInd w:val="0"/>
              <w:snapToGrid w:val="0"/>
              <w:spacing w:after="720"/>
              <w:rPr>
                <w:szCs w:val="20"/>
                <w:lang w:val="fr-FR"/>
              </w:rPr>
            </w:pPr>
            <w:r w:rsidRPr="00ED0D38">
              <w:rPr>
                <w:szCs w:val="20"/>
                <w:lang w:val="fr-FR"/>
              </w:rPr>
              <w:t>Date:                                                                         Signature du Délégué :</w:t>
            </w:r>
          </w:p>
          <w:p w14:paraId="0B3ED121" w14:textId="77777777" w:rsidR="00140CA1" w:rsidRPr="00255E50" w:rsidRDefault="00140CA1" w:rsidP="00140CA1">
            <w:pPr>
              <w:widowControl w:val="0"/>
              <w:adjustRightInd w:val="0"/>
              <w:snapToGrid w:val="0"/>
              <w:rPr>
                <w:szCs w:val="20"/>
              </w:rPr>
            </w:pPr>
          </w:p>
        </w:tc>
      </w:tr>
    </w:tbl>
    <w:p w14:paraId="312F01B7" w14:textId="230EE77D" w:rsidR="008A30BC" w:rsidRPr="00562797" w:rsidRDefault="00B044CD" w:rsidP="008A30BC">
      <w:pPr>
        <w:spacing w:after="120"/>
        <w:ind w:hanging="142"/>
        <w:rPr>
          <w:b/>
          <w:i/>
          <w:szCs w:val="20"/>
          <w:lang w:val="fr-FR"/>
        </w:rPr>
      </w:pPr>
      <w:r w:rsidRPr="000D0FE4">
        <w:rPr>
          <w:lang w:val="fr-FR"/>
        </w:rPr>
        <w:br w:type="page"/>
      </w:r>
      <w:r w:rsidR="00D8095F">
        <w:rPr>
          <w:b/>
          <w:szCs w:val="20"/>
          <w:lang w:val="fr-FR"/>
        </w:rPr>
        <w:lastRenderedPageBreak/>
        <w:t xml:space="preserve">[Renvoi à l’article concerné dans le chapitre du </w:t>
      </w:r>
      <w:hyperlink r:id="rId13" w:history="1">
        <w:r w:rsidR="00D8095F" w:rsidRPr="0089247F">
          <w:rPr>
            <w:rStyle w:val="Lienhypertexte"/>
            <w:b/>
            <w:i/>
            <w:szCs w:val="20"/>
            <w:lang w:val="fr-FR"/>
          </w:rPr>
          <w:t>Code sanitaire pour les animaux terrestres</w:t>
        </w:r>
        <w:r w:rsidR="00D8095F" w:rsidRPr="0089247F">
          <w:rPr>
            <w:rStyle w:val="Lienhypertexte"/>
            <w:b/>
            <w:szCs w:val="20"/>
            <w:lang w:val="fr-FR"/>
          </w:rPr>
          <w:t xml:space="preserve"> sur la </w:t>
        </w:r>
        <w:r w:rsidR="008A30BC" w:rsidRPr="0089247F">
          <w:rPr>
            <w:rStyle w:val="Lienhypertexte"/>
            <w:b/>
            <w:szCs w:val="20"/>
            <w:lang w:val="fr-FR"/>
          </w:rPr>
          <w:t>PPR</w:t>
        </w:r>
      </w:hyperlink>
      <w:r w:rsidR="008A30BC">
        <w:rPr>
          <w:b/>
          <w:szCs w:val="20"/>
          <w:lang w:val="fr-FR"/>
        </w:rPr>
        <w:t>]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8A30BC" w:rsidRPr="00760D2C" w14:paraId="677306D4" w14:textId="77777777" w:rsidTr="006409E6">
        <w:trPr>
          <w:trHeight w:val="70"/>
          <w:jc w:val="center"/>
        </w:trPr>
        <w:tc>
          <w:tcPr>
            <w:tcW w:w="9824" w:type="dxa"/>
            <w:shd w:val="clear" w:color="auto" w:fill="auto"/>
          </w:tcPr>
          <w:p w14:paraId="45255B67" w14:textId="77777777" w:rsidR="002518D4" w:rsidRPr="002518D4" w:rsidRDefault="002518D4" w:rsidP="002518D4">
            <w:pPr>
              <w:pStyle w:val="document-article-libelle"/>
              <w:shd w:val="clear" w:color="auto" w:fill="FFFFFF" w:themeFill="background1"/>
              <w:spacing w:before="0" w:beforeAutospacing="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Article 14.7.34.</w:t>
            </w:r>
          </w:p>
          <w:p w14:paraId="00C9E9BA" w14:textId="0DEA8E7F" w:rsidR="00AB0E57" w:rsidRPr="001472AD" w:rsidRDefault="00AB0E57" w:rsidP="00F66B55">
            <w:pPr>
              <w:spacing w:after="120"/>
              <w:jc w:val="both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b/>
                <w:sz w:val="18"/>
                <w:szCs w:val="18"/>
                <w:lang w:val="fr-FR"/>
              </w:rPr>
              <w:t>Programme officiel de contrôle de la peste des petits ruminants validé par l'</w:t>
            </w:r>
            <w:r w:rsidR="00B14FA6">
              <w:rPr>
                <w:rFonts w:eastAsia="Calibri"/>
                <w:b/>
                <w:sz w:val="18"/>
                <w:szCs w:val="18"/>
                <w:lang w:val="fr-FR"/>
              </w:rPr>
              <w:t>OMSA</w:t>
            </w:r>
          </w:p>
          <w:p w14:paraId="39FC005D" w14:textId="77777777" w:rsidR="007E1716" w:rsidRPr="007E1716" w:rsidRDefault="007E1716" w:rsidP="007E1716">
            <w:p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Conformément au chapitre </w:t>
            </w:r>
            <w:hyperlink r:id="rId14" w:anchor="chapitre_selfdeclaration" w:history="1">
              <w:r w:rsidRPr="007E1716">
                <w:rPr>
                  <w:rStyle w:val="Lienhypertexte"/>
                  <w:rFonts w:eastAsia="Calibri"/>
                  <w:sz w:val="18"/>
                  <w:szCs w:val="18"/>
                  <w:lang w:val="fr-FR"/>
                </w:rPr>
                <w:t>1.6.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, un État membre peut solliciter, sur une base volontaire, la validation de son </w:t>
            </w:r>
            <w:hyperlink r:id="rId15" w:anchor="terme_programme_officiel_de_prophylaxi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programme officiel de contrôle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de la peste des petits ruminants, après avoir mis en œuvre des mesures se conformant au présent article.</w:t>
            </w:r>
          </w:p>
          <w:p w14:paraId="13A6B5B2" w14:textId="77777777" w:rsidR="007E1716" w:rsidRPr="007E1716" w:rsidRDefault="007E1716" w:rsidP="007E1716">
            <w:p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Afin qu'un </w:t>
            </w:r>
            <w:hyperlink r:id="rId16" w:anchor="terme_programme_officiel_de_prophylaxi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programme officiel de contrôle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de la peste des petits ruminants soit validé par l'OMSA, l'État membre doit présenter un </w:t>
            </w:r>
            <w:hyperlink r:id="rId17" w:anchor="terme_programme_officiel_de_prophylaxi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programme officiel de contrôle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détaillé, visant à contrôler et, </w:t>
            </w:r>
            <w:r w:rsidRPr="007E1716">
              <w:rPr>
                <w:rFonts w:eastAsia="Calibri"/>
                <w:i/>
                <w:iCs/>
                <w:sz w:val="18"/>
                <w:szCs w:val="18"/>
                <w:lang w:val="fr-FR"/>
              </w:rPr>
              <w:t>in fine</w:t>
            </w:r>
            <w:r w:rsidRPr="007E1716">
              <w:rPr>
                <w:rFonts w:eastAsia="Calibri"/>
                <w:sz w:val="18"/>
                <w:szCs w:val="18"/>
                <w:lang w:val="fr-FR"/>
              </w:rPr>
              <w:t>, à éradiquer la peste des petits ruminants dans le pays ou la </w:t>
            </w:r>
            <w:hyperlink r:id="rId18" w:anchor="terme_zone_region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. Ce document doit aborder ce qui suit et fournir les pièces probantes afférentes :</w:t>
            </w:r>
          </w:p>
          <w:p w14:paraId="7D953332" w14:textId="77777777" w:rsidR="007E1716" w:rsidRPr="007E1716" w:rsidRDefault="007E1716" w:rsidP="007E1716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à l'épidémiologie :</w:t>
            </w:r>
          </w:p>
          <w:p w14:paraId="5FD9F495" w14:textId="77777777" w:rsidR="007E1716" w:rsidRPr="007E1716" w:rsidRDefault="007E1716" w:rsidP="007E1716">
            <w:pPr>
              <w:numPr>
                <w:ilvl w:val="1"/>
                <w:numId w:val="49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la situation épidémiologique détaillée de la peste des petits ruminants dans le pays, mettant en évidence les avancées et les lacunes actuelles des connaissances ;</w:t>
            </w:r>
          </w:p>
          <w:p w14:paraId="4788D5DD" w14:textId="77777777" w:rsidR="007E1716" w:rsidRPr="007E1716" w:rsidRDefault="007E1716" w:rsidP="007E1716">
            <w:pPr>
              <w:numPr>
                <w:ilvl w:val="1"/>
                <w:numId w:val="49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les principaux systèmes de production et les schémas de mouvements des ovins et des caprins ainsi que des produits qui en sont issus, à l'intérieur et en direction du pays et, le cas échéant, de la </w:t>
            </w:r>
            <w:hyperlink r:id="rId19" w:anchor="terme_zone_region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spécifique ;</w:t>
            </w:r>
          </w:p>
          <w:p w14:paraId="6781620A" w14:textId="77777777" w:rsidR="007E1716" w:rsidRPr="007E1716" w:rsidRDefault="007E1716" w:rsidP="007E1716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à la </w:t>
            </w:r>
            <w:hyperlink r:id="rId20" w:anchor="terme_surveillanc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surveillance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et aux capacités de diagnostic :</w:t>
            </w:r>
          </w:p>
          <w:p w14:paraId="699B02E8" w14:textId="77777777" w:rsidR="007E1716" w:rsidRPr="007E1716" w:rsidRDefault="007E1716" w:rsidP="007E1716">
            <w:pPr>
              <w:numPr>
                <w:ilvl w:val="1"/>
                <w:numId w:val="50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hyperlink r:id="rId21" w:anchor="terme_surveillanc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surveillance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de la peste des petits ruminants en vigueur, conformément au chapitre </w:t>
            </w:r>
            <w:hyperlink r:id="rId22" w:anchor="chapitre_surveillance_general" w:history="1">
              <w:r w:rsidRPr="007E1716">
                <w:rPr>
                  <w:rStyle w:val="Lienhypertexte"/>
                  <w:rFonts w:eastAsia="Calibri"/>
                  <w:sz w:val="18"/>
                  <w:szCs w:val="18"/>
                  <w:lang w:val="fr-FR"/>
                </w:rPr>
                <w:t>1.4.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et aux articles </w:t>
            </w:r>
            <w:hyperlink r:id="rId23" w:history="1">
              <w:r w:rsidRPr="007E1716">
                <w:rPr>
                  <w:rStyle w:val="Lienhypertexte"/>
                  <w:rFonts w:eastAsia="Calibri"/>
                  <w:sz w:val="18"/>
                  <w:szCs w:val="18"/>
                  <w:lang w:val="fr-FR"/>
                </w:rPr>
                <w:t>14.7.27.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à </w:t>
            </w:r>
            <w:hyperlink r:id="rId24" w:history="1">
              <w:r w:rsidRPr="007E1716">
                <w:rPr>
                  <w:rStyle w:val="Lienhypertexte"/>
                  <w:rFonts w:eastAsia="Calibri"/>
                  <w:sz w:val="18"/>
                  <w:szCs w:val="18"/>
                  <w:lang w:val="fr-FR"/>
                </w:rPr>
                <w:t>14.7.33.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;</w:t>
            </w:r>
          </w:p>
          <w:p w14:paraId="7ACB5FFC" w14:textId="77777777" w:rsidR="007E1716" w:rsidRPr="007E1716" w:rsidRDefault="007E1716" w:rsidP="007E1716">
            <w:pPr>
              <w:numPr>
                <w:ilvl w:val="1"/>
                <w:numId w:val="50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capacités et procédures de diagnostic, notamment la soumission régulière d'échantillons à un </w:t>
            </w:r>
            <w:hyperlink r:id="rId25" w:anchor="terme_laboratoir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laboratoire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effectuant les tests de diagnostic et une caractérisation approfondie des souches ;</w:t>
            </w:r>
          </w:p>
          <w:p w14:paraId="672E415A" w14:textId="77777777" w:rsidR="007E1716" w:rsidRPr="007E1716" w:rsidRDefault="007E1716" w:rsidP="007E1716">
            <w:pPr>
              <w:numPr>
                <w:ilvl w:val="1"/>
                <w:numId w:val="50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surveillance sérologique réalisée chez les espèces sensibles, de </w:t>
            </w:r>
            <w:hyperlink r:id="rId26" w:anchor="terme_faune_sauvag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faune sauvage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y compris, qui serviront de sentinelles pour la circulation du virus de la peste des petits ruminants dans le pays ;</w:t>
            </w:r>
          </w:p>
          <w:p w14:paraId="748E0ECE" w14:textId="77777777" w:rsidR="007E1716" w:rsidRPr="007E1716" w:rsidRDefault="007E1716" w:rsidP="007E1716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à la </w:t>
            </w:r>
            <w:hyperlink r:id="rId27" w:anchor="terme_vaccination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vaccination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:</w:t>
            </w:r>
          </w:p>
          <w:p w14:paraId="08DAF15F" w14:textId="77777777" w:rsidR="007E1716" w:rsidRPr="007E1716" w:rsidRDefault="007E1716" w:rsidP="007E1716">
            <w:pPr>
              <w:numPr>
                <w:ilvl w:val="1"/>
                <w:numId w:val="51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la </w:t>
            </w:r>
            <w:hyperlink r:id="rId28" w:anchor="terme_vaccination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vaccination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de la population cible est obligatoire, et doit être réalisée conformément au chapitre </w:t>
            </w:r>
            <w:hyperlink r:id="rId29" w:anchor="chapitre_high_level" w:history="1">
              <w:r w:rsidRPr="007E1716">
                <w:rPr>
                  <w:rStyle w:val="Lienhypertexte"/>
                  <w:rFonts w:eastAsia="Calibri"/>
                  <w:sz w:val="18"/>
                  <w:szCs w:val="18"/>
                  <w:lang w:val="fr-FR"/>
                </w:rPr>
                <w:t>4.18.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;</w:t>
            </w:r>
          </w:p>
          <w:p w14:paraId="526A78CA" w14:textId="77777777" w:rsidR="007E1716" w:rsidRPr="007E1716" w:rsidRDefault="007E1716" w:rsidP="007E1716">
            <w:pPr>
              <w:numPr>
                <w:ilvl w:val="1"/>
                <w:numId w:val="51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des informations détaillées sur les campagnes de </w:t>
            </w:r>
            <w:hyperlink r:id="rId30" w:anchor="terme_vaccination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vaccination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, notamment sur :</w:t>
            </w:r>
          </w:p>
          <w:p w14:paraId="59A8CED3" w14:textId="77777777" w:rsidR="007E1716" w:rsidRPr="007E1716" w:rsidRDefault="007E1716" w:rsidP="007E1716">
            <w:pPr>
              <w:numPr>
                <w:ilvl w:val="2"/>
                <w:numId w:val="51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la stratégie adoptée pour la campagne de </w:t>
            </w:r>
            <w:hyperlink r:id="rId31" w:anchor="terme_vaccination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vaccination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;</w:t>
            </w:r>
          </w:p>
          <w:p w14:paraId="3C134EA4" w14:textId="77777777" w:rsidR="007E1716" w:rsidRPr="007E1716" w:rsidRDefault="007E1716" w:rsidP="007E1716">
            <w:pPr>
              <w:numPr>
                <w:ilvl w:val="2"/>
                <w:numId w:val="51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les </w:t>
            </w:r>
            <w:hyperlink r:id="rId32" w:anchor="terme_population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populations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ciblées pour la </w:t>
            </w:r>
            <w:hyperlink r:id="rId33" w:anchor="terme_vaccination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vaccination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;</w:t>
            </w:r>
          </w:p>
          <w:p w14:paraId="4BBCC930" w14:textId="77777777" w:rsidR="007E1716" w:rsidRPr="007E1716" w:rsidRDefault="007E1716" w:rsidP="007E1716">
            <w:pPr>
              <w:numPr>
                <w:ilvl w:val="2"/>
                <w:numId w:val="51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la zone géographique ciblée pour la </w:t>
            </w:r>
            <w:hyperlink r:id="rId34" w:anchor="terme_vaccination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vaccination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;</w:t>
            </w:r>
          </w:p>
          <w:p w14:paraId="247F0796" w14:textId="77777777" w:rsidR="007E1716" w:rsidRPr="007E1716" w:rsidRDefault="007E1716" w:rsidP="007E1716">
            <w:pPr>
              <w:numPr>
                <w:ilvl w:val="2"/>
                <w:numId w:val="51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le suivi de la couverture vaccinale, notamment un suivi sérologique de l'immunité de la population ;</w:t>
            </w:r>
          </w:p>
          <w:p w14:paraId="3852D478" w14:textId="77777777" w:rsidR="007E1716" w:rsidRPr="007E1716" w:rsidRDefault="007E1716" w:rsidP="007E1716">
            <w:pPr>
              <w:numPr>
                <w:ilvl w:val="2"/>
                <w:numId w:val="51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la stratégie d'identification des animaux vaccinés ;</w:t>
            </w:r>
          </w:p>
          <w:p w14:paraId="5CADC44D" w14:textId="77777777" w:rsidR="007E1716" w:rsidRPr="007E1716" w:rsidRDefault="007E1716" w:rsidP="007E1716">
            <w:pPr>
              <w:numPr>
                <w:ilvl w:val="2"/>
                <w:numId w:val="51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les spécifications techniques des vaccins utilisés et la description des procédures d'autorisation de ces vaccins ;</w:t>
            </w:r>
          </w:p>
          <w:p w14:paraId="1150AD78" w14:textId="77777777" w:rsidR="007E1716" w:rsidRPr="007E1716" w:rsidRDefault="007E1716" w:rsidP="007E1716">
            <w:pPr>
              <w:numPr>
                <w:ilvl w:val="2"/>
                <w:numId w:val="51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l'utilisation de vaccins en totale conformité avec les normes et les méthodes décrites dans le </w:t>
            </w:r>
            <w:hyperlink r:id="rId35" w:anchor="terme_manuel_terrestr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Manuel terrestre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;</w:t>
            </w:r>
          </w:p>
          <w:p w14:paraId="5F1B92DC" w14:textId="77777777" w:rsidR="007E1716" w:rsidRPr="007E1716" w:rsidRDefault="007E1716" w:rsidP="007E1716">
            <w:pPr>
              <w:numPr>
                <w:ilvl w:val="2"/>
                <w:numId w:val="51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la stratégie et le plan de travail, notamment le calendrier, proposés pour réaliser une transition conduisant à l'arrêt du recours à la </w:t>
            </w:r>
            <w:hyperlink r:id="rId36" w:anchor="terme_vaccination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vaccination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;</w:t>
            </w:r>
          </w:p>
          <w:p w14:paraId="3FDDD997" w14:textId="77777777" w:rsidR="007E1716" w:rsidRPr="007E1716" w:rsidRDefault="007E1716" w:rsidP="007E1716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aux mesures mises en œuvre pour prévenir l'introduction de l'agent pathogène, et pour détecter rapidement tous les </w:t>
            </w:r>
            <w:hyperlink r:id="rId37" w:anchor="terme_foyer_de_maladi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foyers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de peste des petits ruminants ;</w:t>
            </w:r>
          </w:p>
          <w:p w14:paraId="3CF13D43" w14:textId="77777777" w:rsidR="007E1716" w:rsidRPr="007E1716" w:rsidRDefault="007E1716" w:rsidP="007E1716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à un plan de préparation et un plan d'intervention pour les situations d'urgence à mettre en œuvre en cas de </w:t>
            </w:r>
            <w:hyperlink r:id="rId38" w:anchor="terme_foyer_de_maladi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foyers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de peste des petits ruminants ;</w:t>
            </w:r>
          </w:p>
          <w:p w14:paraId="0DC81127" w14:textId="77777777" w:rsidR="007E1716" w:rsidRPr="007E1716" w:rsidRDefault="007E1716" w:rsidP="007E1716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au plan de travail et au calendrier pour le </w:t>
            </w:r>
            <w:hyperlink r:id="rId39" w:anchor="terme_programme_officiel_de_prophylaxi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programme officiel de contrôle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;</w:t>
            </w:r>
          </w:p>
          <w:p w14:paraId="4F46C887" w14:textId="77777777" w:rsidR="007E1716" w:rsidRPr="007E1716" w:rsidRDefault="007E1716" w:rsidP="007E1716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aux indicateurs de performance permettant d'évaluer l'efficacité des mesures de contrôle à mettre en œuvre ;</w:t>
            </w:r>
          </w:p>
          <w:p w14:paraId="6987C832" w14:textId="77777777" w:rsidR="007E1716" w:rsidRPr="007E1716" w:rsidRDefault="007E1716" w:rsidP="007E1716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au suivi, à l'évaluation et à l'examen du </w:t>
            </w:r>
            <w:hyperlink r:id="rId40" w:anchor="terme_programme_officiel_de_prophylaxi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programme officiel de contrôle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, afin de démontrer l'efficacité des stratégies.</w:t>
            </w:r>
          </w:p>
          <w:p w14:paraId="1918083F" w14:textId="77777777" w:rsidR="007E1716" w:rsidRPr="007E1716" w:rsidRDefault="007E1716" w:rsidP="007E1716">
            <w:p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Le pays sera inclus sur la liste des pays ayant un </w:t>
            </w:r>
            <w:hyperlink r:id="rId41" w:anchor="terme_programme_officiel_de_prophylaxi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programme officiel de contrôle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de la peste des petits ruminants validé par l'OMSA, conformément au chapitre </w:t>
            </w:r>
            <w:hyperlink r:id="rId42" w:anchor="chapitre_selfdeclaration" w:history="1">
              <w:r w:rsidRPr="007E1716">
                <w:rPr>
                  <w:rStyle w:val="Lienhypertexte"/>
                  <w:rFonts w:eastAsia="Calibri"/>
                  <w:sz w:val="18"/>
                  <w:szCs w:val="18"/>
                  <w:lang w:val="fr-FR"/>
                </w:rPr>
                <w:t>1.6.</w:t>
              </w:r>
            </w:hyperlink>
          </w:p>
          <w:p w14:paraId="4A0129CF" w14:textId="77777777" w:rsidR="007E1716" w:rsidRPr="007E1716" w:rsidRDefault="007E1716" w:rsidP="007E1716">
            <w:p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7E1716">
              <w:rPr>
                <w:rFonts w:eastAsia="Calibri"/>
                <w:sz w:val="18"/>
                <w:szCs w:val="18"/>
                <w:lang w:val="fr-FR"/>
              </w:rPr>
              <w:t>Le maintien sur la liste nécessite la soumission annuelle d'informations à jour sur les progrès réalisés à l'égard du </w:t>
            </w:r>
            <w:hyperlink r:id="rId43" w:anchor="terme_programme_officiel_de_prophylaxie" w:history="1">
              <w:r w:rsidRPr="007E1716">
                <w:rPr>
                  <w:rStyle w:val="Lienhypertexte"/>
                  <w:rFonts w:eastAsia="Calibri"/>
                  <w:i/>
                  <w:iCs/>
                  <w:sz w:val="18"/>
                  <w:szCs w:val="18"/>
                  <w:lang w:val="fr-FR"/>
                </w:rPr>
                <w:t>programme officiel de contrôle</w:t>
              </w:r>
            </w:hyperlink>
            <w:r w:rsidRPr="007E1716">
              <w:rPr>
                <w:rFonts w:eastAsia="Calibri"/>
                <w:sz w:val="18"/>
                <w:szCs w:val="18"/>
                <w:lang w:val="fr-FR"/>
              </w:rPr>
              <w:t> de la peste des petits ruminants et sur tout changement significatif concernant les points susmentionnés.</w:t>
            </w:r>
          </w:p>
          <w:p w14:paraId="4584A69B" w14:textId="4C2EC9AE" w:rsidR="00AB0E57" w:rsidRPr="00F66B55" w:rsidRDefault="00AB0E57" w:rsidP="00F66B55">
            <w:p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</w:p>
          <w:p w14:paraId="1BD8CE67" w14:textId="77777777" w:rsidR="008A30BC" w:rsidRPr="00F90A89" w:rsidRDefault="008A30BC" w:rsidP="001D02FF">
            <w:pPr>
              <w:pStyle w:val="NormalWeb"/>
              <w:spacing w:before="0" w:beforeAutospacing="0" w:after="0" w:afterAutospacing="0"/>
              <w:ind w:left="525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42D9E2CF" w14:textId="77777777" w:rsidR="00CC59DB" w:rsidRPr="00EB4747" w:rsidRDefault="00CC59DB" w:rsidP="008A30BC">
      <w:pPr>
        <w:pStyle w:val="style-standard-ouvrage"/>
        <w:spacing w:beforeLines="80" w:before="192" w:beforeAutospacing="0" w:afterLines="80" w:after="192" w:afterAutospacing="0"/>
        <w:ind w:left="0"/>
      </w:pPr>
    </w:p>
    <w:sectPr w:rsidR="00CC59DB" w:rsidRPr="00EB4747" w:rsidSect="001D02FF">
      <w:footerReference w:type="default" r:id="rId44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2A6A" w14:textId="77777777" w:rsidR="005C5E06" w:rsidRDefault="005C5E06" w:rsidP="00F64A23">
      <w:r>
        <w:separator/>
      </w:r>
    </w:p>
  </w:endnote>
  <w:endnote w:type="continuationSeparator" w:id="0">
    <w:p w14:paraId="2916B8CC" w14:textId="77777777" w:rsidR="005C5E06" w:rsidRDefault="005C5E06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3DD3" w14:textId="4688ED23" w:rsidR="00F64A23" w:rsidRPr="00501C5A" w:rsidRDefault="001472AD" w:rsidP="008C044C">
    <w:pPr>
      <w:pStyle w:val="Pieddepage"/>
      <w:tabs>
        <w:tab w:val="clear" w:pos="9072"/>
        <w:tab w:val="right" w:pos="9498"/>
      </w:tabs>
      <w:rPr>
        <w:rFonts w:eastAsia="Malgun Gothic"/>
        <w:lang w:val="fr-FR" w:eastAsia="ko-KR"/>
      </w:rPr>
    </w:pPr>
    <w:r>
      <w:rPr>
        <w:sz w:val="18"/>
        <w:szCs w:val="18"/>
        <w:lang w:val="fr-FR"/>
      </w:rPr>
      <w:t xml:space="preserve">OMSA - </w:t>
    </w:r>
    <w:r w:rsidR="00501C5A" w:rsidRPr="00862FA7">
      <w:rPr>
        <w:rFonts w:eastAsia="Malgun Gothic"/>
        <w:sz w:val="18"/>
        <w:szCs w:val="18"/>
        <w:lang w:val="fr-FR" w:eastAsia="ko-KR"/>
      </w:rPr>
      <w:t>Formulaire destiné à la reconfirmation annuelle de la validation</w:t>
    </w:r>
    <w:r w:rsidR="00501C5A">
      <w:rPr>
        <w:rFonts w:eastAsia="Malgun Gothic"/>
        <w:sz w:val="18"/>
        <w:szCs w:val="18"/>
        <w:lang w:val="fr-FR" w:eastAsia="ko-KR"/>
      </w:rPr>
      <w:t xml:space="preserve"> </w:t>
    </w:r>
    <w:r w:rsidR="00501C5A" w:rsidRPr="00862FA7">
      <w:rPr>
        <w:rFonts w:eastAsia="Malgun Gothic"/>
        <w:sz w:val="18"/>
        <w:szCs w:val="18"/>
        <w:lang w:val="fr-FR" w:eastAsia="ko-KR"/>
      </w:rPr>
      <w:t xml:space="preserve">des programmes officiels de contrôle de </w:t>
    </w:r>
    <w:r w:rsidR="00EB4747">
      <w:rPr>
        <w:rFonts w:eastAsia="Malgun Gothic"/>
        <w:sz w:val="18"/>
        <w:szCs w:val="18"/>
        <w:lang w:val="fr-FR" w:eastAsia="ko-KR"/>
      </w:rPr>
      <w:t>PPR</w:t>
    </w:r>
    <w:r w:rsidR="008C044C">
      <w:rPr>
        <w:rFonts w:eastAsia="Malgun Gothic"/>
        <w:sz w:val="18"/>
        <w:szCs w:val="18"/>
        <w:lang w:val="fr-FR" w:eastAsia="ko-KR"/>
      </w:rPr>
      <w:tab/>
    </w:r>
    <w:r w:rsidR="008C044C" w:rsidRPr="008C044C">
      <w:rPr>
        <w:rFonts w:eastAsia="Malgun Gothic"/>
        <w:sz w:val="18"/>
        <w:szCs w:val="18"/>
        <w:lang w:val="fr-FR" w:eastAsia="ko-KR"/>
      </w:rPr>
      <w:fldChar w:fldCharType="begin"/>
    </w:r>
    <w:r w:rsidR="008C044C" w:rsidRPr="008C044C">
      <w:rPr>
        <w:rFonts w:eastAsia="Malgun Gothic"/>
        <w:sz w:val="18"/>
        <w:szCs w:val="18"/>
        <w:lang w:val="fr-FR" w:eastAsia="ko-KR"/>
      </w:rPr>
      <w:instrText>PAGE   \* MERGEFORMAT</w:instrText>
    </w:r>
    <w:r w:rsidR="008C044C" w:rsidRPr="008C044C">
      <w:rPr>
        <w:rFonts w:eastAsia="Malgun Gothic"/>
        <w:sz w:val="18"/>
        <w:szCs w:val="18"/>
        <w:lang w:val="fr-FR" w:eastAsia="ko-KR"/>
      </w:rPr>
      <w:fldChar w:fldCharType="separate"/>
    </w:r>
    <w:r w:rsidR="008C044C" w:rsidRPr="008C044C">
      <w:rPr>
        <w:rFonts w:eastAsia="Malgun Gothic"/>
        <w:sz w:val="18"/>
        <w:szCs w:val="18"/>
        <w:lang w:val="fr-FR" w:eastAsia="ko-KR"/>
      </w:rPr>
      <w:t>1</w:t>
    </w:r>
    <w:r w:rsidR="008C044C" w:rsidRPr="008C044C">
      <w:rPr>
        <w:rFonts w:eastAsia="Malgun Gothic"/>
        <w:sz w:val="18"/>
        <w:szCs w:val="18"/>
        <w:lang w:val="fr-FR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2A1A" w14:textId="77777777" w:rsidR="005C5E06" w:rsidRDefault="005C5E06" w:rsidP="00F64A23">
      <w:r>
        <w:separator/>
      </w:r>
    </w:p>
  </w:footnote>
  <w:footnote w:type="continuationSeparator" w:id="0">
    <w:p w14:paraId="1B8CC927" w14:textId="77777777" w:rsidR="005C5E06" w:rsidRDefault="005C5E06" w:rsidP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20B5B"/>
    <w:multiLevelType w:val="multilevel"/>
    <w:tmpl w:val="B528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D7A2B"/>
    <w:multiLevelType w:val="hybridMultilevel"/>
    <w:tmpl w:val="560EB82E"/>
    <w:lvl w:ilvl="0" w:tplc="EADA68F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449E2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1F663DDD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C3724"/>
    <w:multiLevelType w:val="multilevel"/>
    <w:tmpl w:val="2B90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83840"/>
    <w:multiLevelType w:val="multilevel"/>
    <w:tmpl w:val="5118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1B2399"/>
    <w:multiLevelType w:val="multilevel"/>
    <w:tmpl w:val="B73C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F1E65"/>
    <w:multiLevelType w:val="multilevel"/>
    <w:tmpl w:val="737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E0C15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96388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FC171B"/>
    <w:multiLevelType w:val="hybridMultilevel"/>
    <w:tmpl w:val="61D81D88"/>
    <w:lvl w:ilvl="0" w:tplc="68785B3C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751E71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C4288"/>
    <w:multiLevelType w:val="multilevel"/>
    <w:tmpl w:val="4544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E6180D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E75358"/>
    <w:multiLevelType w:val="hybridMultilevel"/>
    <w:tmpl w:val="08D63E9A"/>
    <w:lvl w:ilvl="0" w:tplc="529ED4A6">
      <w:start w:val="1"/>
      <w:numFmt w:val="decimal"/>
      <w:lvlText w:val="%1."/>
      <w:lvlJc w:val="left"/>
      <w:pPr>
        <w:ind w:left="5180" w:hanging="360"/>
      </w:pPr>
      <w:rPr>
        <w:rFonts w:eastAsia="Malgun Goth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471F2"/>
    <w:multiLevelType w:val="multilevel"/>
    <w:tmpl w:val="3364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4335517">
    <w:abstractNumId w:val="35"/>
  </w:num>
  <w:num w:numId="2" w16cid:durableId="154759803">
    <w:abstractNumId w:val="23"/>
  </w:num>
  <w:num w:numId="3" w16cid:durableId="112868848">
    <w:abstractNumId w:val="2"/>
  </w:num>
  <w:num w:numId="4" w16cid:durableId="1373966950">
    <w:abstractNumId w:val="5"/>
  </w:num>
  <w:num w:numId="5" w16cid:durableId="141389617">
    <w:abstractNumId w:val="27"/>
  </w:num>
  <w:num w:numId="6" w16cid:durableId="924189989">
    <w:abstractNumId w:val="20"/>
  </w:num>
  <w:num w:numId="7" w16cid:durableId="1671640129">
    <w:abstractNumId w:val="15"/>
  </w:num>
  <w:num w:numId="8" w16cid:durableId="1510872691">
    <w:abstractNumId w:val="6"/>
  </w:num>
  <w:num w:numId="9" w16cid:durableId="1783454363">
    <w:abstractNumId w:val="26"/>
  </w:num>
  <w:num w:numId="10" w16cid:durableId="334260482">
    <w:abstractNumId w:val="24"/>
  </w:num>
  <w:num w:numId="11" w16cid:durableId="548108097">
    <w:abstractNumId w:val="33"/>
  </w:num>
  <w:num w:numId="12" w16cid:durableId="1996227203">
    <w:abstractNumId w:val="8"/>
  </w:num>
  <w:num w:numId="13" w16cid:durableId="904024923">
    <w:abstractNumId w:val="19"/>
  </w:num>
  <w:num w:numId="14" w16cid:durableId="1266499862">
    <w:abstractNumId w:val="17"/>
  </w:num>
  <w:num w:numId="15" w16cid:durableId="1365402988">
    <w:abstractNumId w:val="0"/>
  </w:num>
  <w:num w:numId="16" w16cid:durableId="778069067">
    <w:abstractNumId w:val="9"/>
  </w:num>
  <w:num w:numId="17" w16cid:durableId="942684791">
    <w:abstractNumId w:val="4"/>
  </w:num>
  <w:num w:numId="18" w16cid:durableId="1195462350">
    <w:abstractNumId w:val="12"/>
  </w:num>
  <w:num w:numId="19" w16cid:durableId="2040201677">
    <w:abstractNumId w:val="32"/>
  </w:num>
  <w:num w:numId="20" w16cid:durableId="949580591">
    <w:abstractNumId w:val="14"/>
  </w:num>
  <w:num w:numId="21" w16cid:durableId="1885756409">
    <w:abstractNumId w:val="3"/>
  </w:num>
  <w:num w:numId="22" w16cid:durableId="625890070">
    <w:abstractNumId w:val="25"/>
  </w:num>
  <w:num w:numId="23" w16cid:durableId="1721511209">
    <w:abstractNumId w:val="31"/>
  </w:num>
  <w:num w:numId="24" w16cid:durableId="1629124441">
    <w:abstractNumId w:val="34"/>
  </w:num>
  <w:num w:numId="25" w16cid:durableId="1388407722">
    <w:abstractNumId w:val="34"/>
  </w:num>
  <w:num w:numId="26" w16cid:durableId="1222715654">
    <w:abstractNumId w:val="34"/>
  </w:num>
  <w:num w:numId="27" w16cid:durableId="248470144">
    <w:abstractNumId w:val="13"/>
  </w:num>
  <w:num w:numId="28" w16cid:durableId="1814254945">
    <w:abstractNumId w:val="29"/>
  </w:num>
  <w:num w:numId="29" w16cid:durableId="16350025">
    <w:abstractNumId w:val="29"/>
  </w:num>
  <w:num w:numId="30" w16cid:durableId="314990568">
    <w:abstractNumId w:val="29"/>
  </w:num>
  <w:num w:numId="31" w16cid:durableId="1212420231">
    <w:abstractNumId w:val="1"/>
  </w:num>
  <w:num w:numId="32" w16cid:durableId="721095680">
    <w:abstractNumId w:val="7"/>
  </w:num>
  <w:num w:numId="33" w16cid:durableId="1153252712">
    <w:abstractNumId w:val="7"/>
  </w:num>
  <w:num w:numId="34" w16cid:durableId="1059592424">
    <w:abstractNumId w:val="7"/>
  </w:num>
  <w:num w:numId="35" w16cid:durableId="1478955957">
    <w:abstractNumId w:val="10"/>
  </w:num>
  <w:num w:numId="36" w16cid:durableId="1883396296">
    <w:abstractNumId w:val="21"/>
  </w:num>
  <w:num w:numId="37" w16cid:durableId="2048600182">
    <w:abstractNumId w:val="21"/>
  </w:num>
  <w:num w:numId="38" w16cid:durableId="1848135146">
    <w:abstractNumId w:val="21"/>
  </w:num>
  <w:num w:numId="39" w16cid:durableId="2131626092">
    <w:abstractNumId w:val="21"/>
  </w:num>
  <w:num w:numId="40" w16cid:durableId="279142273">
    <w:abstractNumId w:val="22"/>
  </w:num>
  <w:num w:numId="41" w16cid:durableId="195197193">
    <w:abstractNumId w:val="30"/>
  </w:num>
  <w:num w:numId="42" w16cid:durableId="140541433">
    <w:abstractNumId w:val="30"/>
  </w:num>
  <w:num w:numId="43" w16cid:durableId="1839223662">
    <w:abstractNumId w:val="30"/>
  </w:num>
  <w:num w:numId="44" w16cid:durableId="60175082">
    <w:abstractNumId w:val="28"/>
  </w:num>
  <w:num w:numId="45" w16cid:durableId="866529798">
    <w:abstractNumId w:val="16"/>
  </w:num>
  <w:num w:numId="46" w16cid:durableId="1277712033">
    <w:abstractNumId w:val="16"/>
  </w:num>
  <w:num w:numId="47" w16cid:durableId="1499464429">
    <w:abstractNumId w:val="16"/>
  </w:num>
  <w:num w:numId="48" w16cid:durableId="342247507">
    <w:abstractNumId w:val="18"/>
  </w:num>
  <w:num w:numId="49" w16cid:durableId="152378280">
    <w:abstractNumId w:val="11"/>
  </w:num>
  <w:num w:numId="50" w16cid:durableId="1143348693">
    <w:abstractNumId w:val="11"/>
    <w:lvlOverride w:ilvl="1">
      <w:startOverride w:val="1"/>
    </w:lvlOverride>
  </w:num>
  <w:num w:numId="51" w16cid:durableId="107966398">
    <w:abstractNumId w:val="1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DB"/>
    <w:rsid w:val="00001FEB"/>
    <w:rsid w:val="00010892"/>
    <w:rsid w:val="00011097"/>
    <w:rsid w:val="00011EA0"/>
    <w:rsid w:val="00013281"/>
    <w:rsid w:val="00013D7D"/>
    <w:rsid w:val="000165FC"/>
    <w:rsid w:val="00024AC9"/>
    <w:rsid w:val="0002541F"/>
    <w:rsid w:val="00026C7C"/>
    <w:rsid w:val="000448F8"/>
    <w:rsid w:val="00047118"/>
    <w:rsid w:val="000574D6"/>
    <w:rsid w:val="00063C6C"/>
    <w:rsid w:val="00075219"/>
    <w:rsid w:val="0008534D"/>
    <w:rsid w:val="0008581B"/>
    <w:rsid w:val="000925BD"/>
    <w:rsid w:val="00092991"/>
    <w:rsid w:val="00094348"/>
    <w:rsid w:val="000A6D84"/>
    <w:rsid w:val="000B0405"/>
    <w:rsid w:val="000B0755"/>
    <w:rsid w:val="000D0FE4"/>
    <w:rsid w:val="0010377D"/>
    <w:rsid w:val="00116347"/>
    <w:rsid w:val="001164DA"/>
    <w:rsid w:val="00137EFF"/>
    <w:rsid w:val="00140CA1"/>
    <w:rsid w:val="001462DF"/>
    <w:rsid w:val="00146E0C"/>
    <w:rsid w:val="001472AD"/>
    <w:rsid w:val="00164A5B"/>
    <w:rsid w:val="00166D1B"/>
    <w:rsid w:val="00166FE9"/>
    <w:rsid w:val="001729EA"/>
    <w:rsid w:val="001815A4"/>
    <w:rsid w:val="001961B5"/>
    <w:rsid w:val="001A6CAF"/>
    <w:rsid w:val="001B3767"/>
    <w:rsid w:val="001B4D37"/>
    <w:rsid w:val="001C1A84"/>
    <w:rsid w:val="001D02FF"/>
    <w:rsid w:val="001D0B8C"/>
    <w:rsid w:val="001E467F"/>
    <w:rsid w:val="002125DF"/>
    <w:rsid w:val="002168DB"/>
    <w:rsid w:val="00223603"/>
    <w:rsid w:val="00226A31"/>
    <w:rsid w:val="00227CCF"/>
    <w:rsid w:val="002326DC"/>
    <w:rsid w:val="00233605"/>
    <w:rsid w:val="00240326"/>
    <w:rsid w:val="002518D4"/>
    <w:rsid w:val="00251B41"/>
    <w:rsid w:val="00265DC1"/>
    <w:rsid w:val="00274F8C"/>
    <w:rsid w:val="002813DA"/>
    <w:rsid w:val="00282080"/>
    <w:rsid w:val="00285C79"/>
    <w:rsid w:val="002A16E9"/>
    <w:rsid w:val="002A1B1A"/>
    <w:rsid w:val="002A4392"/>
    <w:rsid w:val="002A7488"/>
    <w:rsid w:val="002B449F"/>
    <w:rsid w:val="002C0269"/>
    <w:rsid w:val="002C0407"/>
    <w:rsid w:val="002D105E"/>
    <w:rsid w:val="0031627D"/>
    <w:rsid w:val="00330F61"/>
    <w:rsid w:val="0033151F"/>
    <w:rsid w:val="003371B4"/>
    <w:rsid w:val="0034311E"/>
    <w:rsid w:val="00353AD3"/>
    <w:rsid w:val="003565AC"/>
    <w:rsid w:val="0036726D"/>
    <w:rsid w:val="00390196"/>
    <w:rsid w:val="003B1951"/>
    <w:rsid w:val="003B1F20"/>
    <w:rsid w:val="003B232D"/>
    <w:rsid w:val="003B6083"/>
    <w:rsid w:val="003C02DF"/>
    <w:rsid w:val="003D119E"/>
    <w:rsid w:val="003D3A8F"/>
    <w:rsid w:val="003D6127"/>
    <w:rsid w:val="003D71CB"/>
    <w:rsid w:val="003F0FD0"/>
    <w:rsid w:val="003F1001"/>
    <w:rsid w:val="004247C3"/>
    <w:rsid w:val="00427A6D"/>
    <w:rsid w:val="00440360"/>
    <w:rsid w:val="0044269E"/>
    <w:rsid w:val="00446771"/>
    <w:rsid w:val="004507EB"/>
    <w:rsid w:val="004731DA"/>
    <w:rsid w:val="004929E8"/>
    <w:rsid w:val="004A1FAE"/>
    <w:rsid w:val="004A5BD9"/>
    <w:rsid w:val="004D40AC"/>
    <w:rsid w:val="004D6242"/>
    <w:rsid w:val="004E37FD"/>
    <w:rsid w:val="004E587D"/>
    <w:rsid w:val="004F001F"/>
    <w:rsid w:val="00501C5A"/>
    <w:rsid w:val="00504E97"/>
    <w:rsid w:val="00511362"/>
    <w:rsid w:val="00513F63"/>
    <w:rsid w:val="00514786"/>
    <w:rsid w:val="00516A6B"/>
    <w:rsid w:val="00517852"/>
    <w:rsid w:val="00543DDD"/>
    <w:rsid w:val="00552366"/>
    <w:rsid w:val="005523C3"/>
    <w:rsid w:val="005562EB"/>
    <w:rsid w:val="0056416A"/>
    <w:rsid w:val="00572A43"/>
    <w:rsid w:val="00582610"/>
    <w:rsid w:val="005A4A2E"/>
    <w:rsid w:val="005C5E06"/>
    <w:rsid w:val="005C7B45"/>
    <w:rsid w:val="005E1109"/>
    <w:rsid w:val="005E4E97"/>
    <w:rsid w:val="005E5E7C"/>
    <w:rsid w:val="005F1AC9"/>
    <w:rsid w:val="005F759B"/>
    <w:rsid w:val="00610197"/>
    <w:rsid w:val="0061041F"/>
    <w:rsid w:val="0061683B"/>
    <w:rsid w:val="00624D7C"/>
    <w:rsid w:val="00631CD8"/>
    <w:rsid w:val="006357E2"/>
    <w:rsid w:val="00640642"/>
    <w:rsid w:val="006409E6"/>
    <w:rsid w:val="00640F3F"/>
    <w:rsid w:val="00662C0F"/>
    <w:rsid w:val="00672199"/>
    <w:rsid w:val="00673332"/>
    <w:rsid w:val="00692C10"/>
    <w:rsid w:val="006A30A6"/>
    <w:rsid w:val="006B52D2"/>
    <w:rsid w:val="006B5839"/>
    <w:rsid w:val="006C3E50"/>
    <w:rsid w:val="006D1384"/>
    <w:rsid w:val="006D22AC"/>
    <w:rsid w:val="006D636B"/>
    <w:rsid w:val="006E612F"/>
    <w:rsid w:val="006E7AAF"/>
    <w:rsid w:val="006F369A"/>
    <w:rsid w:val="007106D3"/>
    <w:rsid w:val="007245AD"/>
    <w:rsid w:val="00726871"/>
    <w:rsid w:val="00735B93"/>
    <w:rsid w:val="0075573A"/>
    <w:rsid w:val="00760D2C"/>
    <w:rsid w:val="00761B89"/>
    <w:rsid w:val="00772170"/>
    <w:rsid w:val="00772AB7"/>
    <w:rsid w:val="00776231"/>
    <w:rsid w:val="00785409"/>
    <w:rsid w:val="007A4150"/>
    <w:rsid w:val="007B268F"/>
    <w:rsid w:val="007B7F20"/>
    <w:rsid w:val="007D1D34"/>
    <w:rsid w:val="007D4AFD"/>
    <w:rsid w:val="007D59A6"/>
    <w:rsid w:val="007E02FD"/>
    <w:rsid w:val="007E1716"/>
    <w:rsid w:val="007E76AB"/>
    <w:rsid w:val="007F36C4"/>
    <w:rsid w:val="00820249"/>
    <w:rsid w:val="00833CBD"/>
    <w:rsid w:val="008422E9"/>
    <w:rsid w:val="0084352D"/>
    <w:rsid w:val="008607F0"/>
    <w:rsid w:val="00864B2C"/>
    <w:rsid w:val="00864FBE"/>
    <w:rsid w:val="00873A99"/>
    <w:rsid w:val="00873F6F"/>
    <w:rsid w:val="0089247F"/>
    <w:rsid w:val="008A1B5B"/>
    <w:rsid w:val="008A30BC"/>
    <w:rsid w:val="008A6D39"/>
    <w:rsid w:val="008C044C"/>
    <w:rsid w:val="008D4462"/>
    <w:rsid w:val="008E356B"/>
    <w:rsid w:val="008E4DF1"/>
    <w:rsid w:val="008F7393"/>
    <w:rsid w:val="009026C2"/>
    <w:rsid w:val="00905588"/>
    <w:rsid w:val="00920A14"/>
    <w:rsid w:val="0092405B"/>
    <w:rsid w:val="009527E0"/>
    <w:rsid w:val="00955AA3"/>
    <w:rsid w:val="00967CDB"/>
    <w:rsid w:val="0097114E"/>
    <w:rsid w:val="00972B60"/>
    <w:rsid w:val="00981DAE"/>
    <w:rsid w:val="009875AF"/>
    <w:rsid w:val="009962D9"/>
    <w:rsid w:val="009D1F5C"/>
    <w:rsid w:val="009D71C0"/>
    <w:rsid w:val="009E0F6C"/>
    <w:rsid w:val="009E6C63"/>
    <w:rsid w:val="009F5963"/>
    <w:rsid w:val="00A0347B"/>
    <w:rsid w:val="00A10D35"/>
    <w:rsid w:val="00A22271"/>
    <w:rsid w:val="00A3116E"/>
    <w:rsid w:val="00A33325"/>
    <w:rsid w:val="00A45AB9"/>
    <w:rsid w:val="00A45EEF"/>
    <w:rsid w:val="00A73875"/>
    <w:rsid w:val="00AB0E57"/>
    <w:rsid w:val="00AD43E7"/>
    <w:rsid w:val="00B044CD"/>
    <w:rsid w:val="00B14FA6"/>
    <w:rsid w:val="00B16B75"/>
    <w:rsid w:val="00B27A09"/>
    <w:rsid w:val="00B32084"/>
    <w:rsid w:val="00B334FE"/>
    <w:rsid w:val="00B3764A"/>
    <w:rsid w:val="00B476D3"/>
    <w:rsid w:val="00B55466"/>
    <w:rsid w:val="00B60489"/>
    <w:rsid w:val="00B62E39"/>
    <w:rsid w:val="00B7491B"/>
    <w:rsid w:val="00BA55E0"/>
    <w:rsid w:val="00BC3490"/>
    <w:rsid w:val="00BC6204"/>
    <w:rsid w:val="00BD5210"/>
    <w:rsid w:val="00BF5C37"/>
    <w:rsid w:val="00C33796"/>
    <w:rsid w:val="00C436F8"/>
    <w:rsid w:val="00C62F9A"/>
    <w:rsid w:val="00C946C0"/>
    <w:rsid w:val="00C96DBF"/>
    <w:rsid w:val="00CC1B07"/>
    <w:rsid w:val="00CC411A"/>
    <w:rsid w:val="00CC59DB"/>
    <w:rsid w:val="00CD791F"/>
    <w:rsid w:val="00CE3C2E"/>
    <w:rsid w:val="00CE5DF6"/>
    <w:rsid w:val="00D00BA1"/>
    <w:rsid w:val="00D15521"/>
    <w:rsid w:val="00D254F3"/>
    <w:rsid w:val="00D26B3A"/>
    <w:rsid w:val="00D33BD5"/>
    <w:rsid w:val="00D34583"/>
    <w:rsid w:val="00D34B86"/>
    <w:rsid w:val="00D41AB0"/>
    <w:rsid w:val="00D45866"/>
    <w:rsid w:val="00D4731A"/>
    <w:rsid w:val="00D8095F"/>
    <w:rsid w:val="00D85095"/>
    <w:rsid w:val="00D85745"/>
    <w:rsid w:val="00DB0E0D"/>
    <w:rsid w:val="00DC6E85"/>
    <w:rsid w:val="00DD0F46"/>
    <w:rsid w:val="00DD2070"/>
    <w:rsid w:val="00E054EE"/>
    <w:rsid w:val="00E15C5C"/>
    <w:rsid w:val="00E23F45"/>
    <w:rsid w:val="00E25D80"/>
    <w:rsid w:val="00E2609E"/>
    <w:rsid w:val="00E30070"/>
    <w:rsid w:val="00E520CA"/>
    <w:rsid w:val="00E53D91"/>
    <w:rsid w:val="00E5542B"/>
    <w:rsid w:val="00E56861"/>
    <w:rsid w:val="00E63F6D"/>
    <w:rsid w:val="00EA0377"/>
    <w:rsid w:val="00EA2CBC"/>
    <w:rsid w:val="00EB4747"/>
    <w:rsid w:val="00EC2C23"/>
    <w:rsid w:val="00ED0BD0"/>
    <w:rsid w:val="00ED0D38"/>
    <w:rsid w:val="00ED7667"/>
    <w:rsid w:val="00ED7A6F"/>
    <w:rsid w:val="00EF4C7E"/>
    <w:rsid w:val="00EF7DEC"/>
    <w:rsid w:val="00F03207"/>
    <w:rsid w:val="00F14E3E"/>
    <w:rsid w:val="00F24261"/>
    <w:rsid w:val="00F27A4D"/>
    <w:rsid w:val="00F34E6D"/>
    <w:rsid w:val="00F368FC"/>
    <w:rsid w:val="00F44F7D"/>
    <w:rsid w:val="00F568CD"/>
    <w:rsid w:val="00F64A23"/>
    <w:rsid w:val="00F66B55"/>
    <w:rsid w:val="00F675F8"/>
    <w:rsid w:val="00F744F4"/>
    <w:rsid w:val="00F842D9"/>
    <w:rsid w:val="00F87CE0"/>
    <w:rsid w:val="00F931AE"/>
    <w:rsid w:val="00FA03CE"/>
    <w:rsid w:val="00FA38E8"/>
    <w:rsid w:val="00FA5501"/>
    <w:rsid w:val="00FA67A9"/>
    <w:rsid w:val="00FB4DEC"/>
    <w:rsid w:val="00FC7AE4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218F8F"/>
  <w15:chartTrackingRefBased/>
  <w15:docId w15:val="{637719C7-88B9-42ED-B5DF-EA886291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89247F"/>
    <w:rPr>
      <w:color w:val="0070C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5542B"/>
    <w:rPr>
      <w:szCs w:val="20"/>
    </w:rPr>
  </w:style>
  <w:style w:type="character" w:customStyle="1" w:styleId="CommentaireCar">
    <w:name w:val="Commentaire Car"/>
    <w:link w:val="Commentaire"/>
    <w:uiPriority w:val="99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F842D9"/>
    <w:pPr>
      <w:spacing w:before="100" w:beforeAutospacing="1" w:after="100" w:afterAutospacing="1"/>
    </w:pPr>
    <w:rPr>
      <w:sz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26B3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472AD"/>
    <w:rPr>
      <w:rFonts w:eastAsia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ah.org/fr/ce-que-nous-faisons/normes/codes-et-manuels/acces-en-ligne-au-code-terrestre/?id=169&amp;L=1&amp;htmfile=chapitre_ppr.htm" TargetMode="External"/><Relationship Id="rId18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9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1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4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2" Type="http://schemas.openxmlformats.org/officeDocument/2006/relationships/hyperlink" Target="https://www.woah.org/fr/ce-que-nous-faisons/normes/codes-et-manuels/acces-en-ligne-au-code-terrestre/index.php?id=169&amp;L=1&amp;htmfile=chapitre_selfdeclaration.ht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9" Type="http://schemas.openxmlformats.org/officeDocument/2006/relationships/hyperlink" Target="https://www.woah.org/fr/ce-que-nous-faisons/normes/codes-et-manuels/acces-en-ligne-au-code-terrestre/index.php?id=169&amp;L=1&amp;htmfile=chapitre_vaccination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ease.status@woah.org" TargetMode="External"/><Relationship Id="rId24" Type="http://schemas.openxmlformats.org/officeDocument/2006/relationships/hyperlink" Target="https://www.woah.org/fr/ce-que-nous-faisons/normes/codes-et-manuels/acces-en-ligne-au-code-terrestre/index.php?id=169&amp;L=1&amp;htmfile=ticle_ppr.33." TargetMode="External"/><Relationship Id="rId32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7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0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3" Type="http://schemas.openxmlformats.org/officeDocument/2006/relationships/hyperlink" Target="https://www.woah.org/fr/ce-que-nous-faisons/normes/codes-et-manuels/acces-en-ligne-au-code-terrestre/index.php?id=169&amp;L=1&amp;htmfile=ticle_ppr.27." TargetMode="External"/><Relationship Id="rId28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1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ah.org/fr/ce-que-nous-faisons/normes/codes-et-manuels/acces-en-ligne-au-code-terrestre/index.php?id=169&amp;L=1&amp;htmfile=chapitre_selfdeclaration.htm" TargetMode="External"/><Relationship Id="rId22" Type="http://schemas.openxmlformats.org/officeDocument/2006/relationships/hyperlink" Target="https://www.woah.org/fr/ce-que-nous-faisons/normes/codes-et-manuels/acces-en-ligne-au-code-terrestre/index.php?id=169&amp;L=1&amp;htmfile=chapitre_surveillance_general.htm" TargetMode="External"/><Relationship Id="rId27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0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5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3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oie.int/index.php?id=169&amp;L=1&amp;htmfile=glossaire.htm" TargetMode="External"/><Relationship Id="rId17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5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3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8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1" Type="http://schemas.openxmlformats.org/officeDocument/2006/relationships/hyperlink" Target="https://www.woah.org/fr/ce-que-nous-faisons/normes/codes-et-manuels/acces-en-ligne-au-code-terrestre/index.php?id=169&amp;L=1&amp;htmfile=glossai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ae6e6-b588-483a-8e2d-50badf586181" xsi:nil="true"/>
    <lcf76f155ced4ddcb4097134ff3c332f xmlns="9a8cb84b-97f5-4433-86c8-7682bf89471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38A30587F44D95EA39F981EC3864" ma:contentTypeVersion="13" ma:contentTypeDescription="Create a new document." ma:contentTypeScope="" ma:versionID="b92dd10a23ac5699770fbfc4094ea6f3">
  <xsd:schema xmlns:xsd="http://www.w3.org/2001/XMLSchema" xmlns:xs="http://www.w3.org/2001/XMLSchema" xmlns:p="http://schemas.microsoft.com/office/2006/metadata/properties" xmlns:ns2="9a8cb84b-97f5-4433-86c8-7682bf89471e" xmlns:ns3="af5ae6e6-b588-483a-8e2d-50badf586181" targetNamespace="http://schemas.microsoft.com/office/2006/metadata/properties" ma:root="true" ma:fieldsID="cf2f52aaa7fb2b3d57f548818c4dbc3e" ns2:_="" ns3:_="">
    <xsd:import namespace="9a8cb84b-97f5-4433-86c8-7682bf89471e"/>
    <xsd:import namespace="af5ae6e6-b588-483a-8e2d-50badf586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b84b-97f5-4433-86c8-7682bf89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e6e6-b588-483a-8e2d-50badf5861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2c4193-38cb-4499-8cec-40353f05f856}" ma:internalName="TaxCatchAll" ma:showField="CatchAllData" ma:web="af5ae6e6-b588-483a-8e2d-50badf58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E9E54-5E38-4365-8123-D8C8A4DC6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E8E74-621A-4CDE-8443-6BB536EE69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2D2623-FA84-497F-BB1E-D1F50C419891}">
  <ds:schemaRefs>
    <ds:schemaRef ds:uri="http://schemas.microsoft.com/office/2006/metadata/properties"/>
    <ds:schemaRef ds:uri="http://schemas.microsoft.com/office/infopath/2007/PartnerControls"/>
    <ds:schemaRef ds:uri="af5ae6e6-b588-483a-8e2d-50badf586181"/>
    <ds:schemaRef ds:uri="9a8cb84b-97f5-4433-86c8-7682bf89471e"/>
  </ds:schemaRefs>
</ds:datastoreItem>
</file>

<file path=customXml/itemProps4.xml><?xml version="1.0" encoding="utf-8"?>
<ds:datastoreItem xmlns:ds="http://schemas.openxmlformats.org/officeDocument/2006/customXml" ds:itemID="{0B094F0F-6426-43E0-93B0-73A118A8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b84b-97f5-4433-86c8-7682bf89471e"/>
    <ds:schemaRef ds:uri="af5ae6e6-b588-483a-8e2d-50badf58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2060</Words>
  <Characters>11332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13366</CharactersWithSpaces>
  <SharedDoc>false</SharedDoc>
  <HLinks>
    <vt:vector size="198" baseType="variant">
      <vt:variant>
        <vt:i4>4522056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terme_services_veterinaires</vt:lpwstr>
      </vt:variant>
      <vt:variant>
        <vt:i4>983066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5242963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5242963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6553695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5832810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5832810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7602289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terme_faune_sauvage</vt:lpwstr>
      </vt:variant>
      <vt:variant>
        <vt:i4>5832810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5832810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5242963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5832810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2490369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terme_laboratoire</vt:lpwstr>
      </vt:variant>
      <vt:variant>
        <vt:i4>983064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chapitre_surveillance_general</vt:lpwstr>
      </vt:variant>
      <vt:variant>
        <vt:i4>5832810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5832810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6553695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6553695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4456549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983066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2359335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5242963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4522056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terme_services_veterinaires</vt:lpwstr>
      </vt:variant>
      <vt:variant>
        <vt:i4>5242963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5242963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terme_laboratoire</vt:lpwstr>
      </vt:variant>
      <vt:variant>
        <vt:i4>983066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3997701</vt:i4>
      </vt:variant>
      <vt:variant>
        <vt:i4>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terme_maladie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7</cp:revision>
  <cp:lastPrinted>2009-07-23T13:55:00Z</cp:lastPrinted>
  <dcterms:created xsi:type="dcterms:W3CDTF">2022-10-03T14:47:00Z</dcterms:created>
  <dcterms:modified xsi:type="dcterms:W3CDTF">2023-10-11T10:52:00Z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0x0101000AAB38A30587F44D95EA39F981EC3864</vt:lpwstr>
  </property>
  <property fmtid="{D5CDD505-2E9C-101B-9397-08002B2CF9AE}" pid="3" name="Order">
    <vt:r8>3820400</vt:r8>
  </property>
</Properties>
</file>